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940" w:type="dxa"/>
        <w:tblInd w:w="-3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35"/>
        <w:gridCol w:w="4358"/>
        <w:gridCol w:w="3112"/>
        <w:gridCol w:w="660"/>
        <w:gridCol w:w="690"/>
        <w:gridCol w:w="600"/>
        <w:gridCol w:w="600"/>
        <w:gridCol w:w="705"/>
        <w:gridCol w:w="735"/>
        <w:gridCol w:w="705"/>
      </w:tblGrid>
      <w:tr w:rsidR="00235CB8">
        <w:tc>
          <w:tcPr>
            <w:tcW w:w="14940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CCFF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</w:p>
          <w:p w:rsidR="00235CB8" w:rsidRDefault="00424B4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PROGRAMACIÓN DE AULA 1º BACHILLERATO</w:t>
            </w:r>
          </w:p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</w:p>
        </w:tc>
      </w:tr>
      <w:tr w:rsidR="00235CB8">
        <w:trPr>
          <w:trHeight w:val="328"/>
        </w:trPr>
        <w:tc>
          <w:tcPr>
            <w:tcW w:w="234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CONTENIDOS EVALUABLES</w:t>
            </w:r>
          </w:p>
        </w:tc>
        <w:tc>
          <w:tcPr>
            <w:tcW w:w="7905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ESTÁNDARES DE APRENDIZAJE</w:t>
            </w:r>
          </w:p>
        </w:tc>
        <w:tc>
          <w:tcPr>
            <w:tcW w:w="4695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COMPETENCIAS</w:t>
            </w:r>
          </w:p>
        </w:tc>
      </w:tr>
      <w:tr w:rsidR="00235CB8">
        <w:trPr>
          <w:trHeight w:val="491"/>
        </w:trPr>
        <w:tc>
          <w:tcPr>
            <w:tcW w:w="234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905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235CB8">
        <w:trPr>
          <w:trHeight w:val="671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99"/>
            <w:tcMar>
              <w:left w:w="-15" w:type="dxa"/>
            </w:tcMar>
            <w:vAlign w:val="center"/>
          </w:tcPr>
          <w:p w:rsidR="00235CB8" w:rsidRDefault="00424B49">
            <w:pPr>
              <w:spacing w:after="0" w:line="240" w:lineRule="auto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 xml:space="preserve"> BLOQUE 1. ANTROPOLÓGIA CRISTIANA</w:t>
            </w:r>
          </w:p>
        </w:tc>
        <w:tc>
          <w:tcPr>
            <w:tcW w:w="66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</w:tr>
      <w:tr w:rsidR="00235CB8">
        <w:trPr>
          <w:trHeight w:val="546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cc-m-header-152491626241"/>
            <w:bookmarkEnd w:id="0"/>
            <w:r>
              <w:rPr>
                <w:rFonts w:ascii="Arial" w:eastAsia="Times New Roman" w:hAnsi="Arial"/>
                <w:b/>
                <w:bCs/>
                <w:color w:val="B01513"/>
                <w:sz w:val="26"/>
                <w:szCs w:val="26"/>
                <w:lang w:eastAsia="es-ES"/>
              </w:rPr>
              <w:t>A la conquista del Clan de Envie</w:t>
            </w:r>
          </w:p>
          <w:p w:rsidR="00235CB8" w:rsidRDefault="00235CB8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color w:val="B01513"/>
                <w:lang w:eastAsia="es-ES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55911"/>
            <w:tcMar>
              <w:left w:w="-15" w:type="dxa"/>
            </w:tcMar>
          </w:tcPr>
          <w:p w:rsidR="00235CB8" w:rsidRDefault="00235CB8">
            <w:pPr>
              <w:rPr>
                <w:rFonts w:ascii="Arial" w:hAnsi="Arial"/>
              </w:rPr>
            </w:pPr>
          </w:p>
        </w:tc>
      </w:tr>
      <w:tr w:rsidR="00424B49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hombre, ser religioso que busca un sentido a la vida. Expresiones históricas del sentido religioso</w:t>
            </w:r>
          </w:p>
          <w:p w:rsidR="00424B49" w:rsidRDefault="00424B49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misterio de la persona humana. Fundamento de su dignidad</w:t>
            </w:r>
          </w:p>
          <w:p w:rsidR="00424B49" w:rsidRDefault="00424B49">
            <w:pPr>
              <w:pStyle w:val="Standard"/>
              <w:jc w:val="both"/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Diversas posturas ante el hecho religioso en la sociedad actual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Pr="00424B49" w:rsidRDefault="00424B49">
            <w:pPr>
              <w:ind w:right="113"/>
              <w:jc w:val="both"/>
              <w:rPr>
                <w:rFonts w:ascii="Arial" w:hAnsi="Arial"/>
                <w:lang w:val="es-ES_tradnl"/>
              </w:rPr>
            </w:pPr>
            <w:r w:rsidRPr="00424B49">
              <w:rPr>
                <w:rFonts w:ascii="Arial" w:hAnsi="Arial"/>
                <w:lang w:val="es-ES_tradnl"/>
              </w:rPr>
              <w:t>1.1.1.Reflexiona sobre acontecimientos mostrados en los medios de comunicación y emite juicios de valor sobre la necesidad de sentido</w:t>
            </w:r>
          </w:p>
        </w:tc>
        <w:tc>
          <w:tcPr>
            <w:tcW w:w="311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424B49" w:rsidRDefault="00424B49" w:rsidP="00424B49">
            <w:pPr>
              <w:pStyle w:val="Default"/>
            </w:pPr>
          </w:p>
          <w:p w:rsidR="00424B49" w:rsidRPr="00424B49" w:rsidRDefault="00424B49" w:rsidP="00DA4427">
            <w:pPr>
              <w:spacing w:after="0" w:line="240" w:lineRule="auto"/>
              <w:ind w:left="50" w:hanging="50"/>
              <w:jc w:val="both"/>
              <w:rPr>
                <w:rFonts w:ascii="Arial" w:hAnsi="Arial"/>
                <w:color w:val="212121"/>
                <w:highlight w:val="white"/>
                <w:lang w:val="es-ES_tradnl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Aprender Misericordia con </w:t>
            </w:r>
            <w:r w:rsidR="00DA4427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Rutinas de Pensamiento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424B49" w:rsidTr="00AF1A16">
        <w:trPr>
          <w:trHeight w:val="1771"/>
        </w:trPr>
        <w:tc>
          <w:tcPr>
            <w:tcW w:w="2775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rPr>
                <w:rFonts w:ascii="Arial" w:hAnsi="Arial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spacing w:after="0" w:line="240" w:lineRule="auto"/>
              <w:ind w:right="170"/>
              <w:jc w:val="both"/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</w:pP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1.</w:t>
            </w:r>
            <w:r w:rsidR="00352E53"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3.1</w:t>
            </w: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 xml:space="preserve"> Descubre, a partir de un visionado que muestre la injusticia, la incapacidad de la ley para fundamentar la dignidad humana. Compara con textos eclesiales que vinculan la dignidad del ser humano a su condición de creatura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424B49" w:rsidRDefault="00424B49" w:rsidP="00424B49">
            <w:pPr>
              <w:spacing w:after="0" w:line="240" w:lineRule="auto"/>
              <w:ind w:right="170"/>
              <w:jc w:val="both"/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spacing w:before="0" w:after="0" w:line="240" w:lineRule="auto"/>
              <w:jc w:val="center"/>
              <w:rPr>
                <w:b/>
                <w:bCs/>
              </w:rPr>
            </w:pPr>
            <w:bookmarkStart w:id="1" w:name="cc-m-header-15249490024"/>
            <w:bookmarkEnd w:id="1"/>
            <w:r>
              <w:rPr>
                <w:rFonts w:ascii="Arial" w:eastAsia="Times New Roman" w:hAnsi="Arial" w:cs="Times New Roman"/>
                <w:b/>
                <w:bCs/>
                <w:color w:val="B01513"/>
                <w:lang w:eastAsia="es-ES"/>
              </w:rPr>
              <w:t xml:space="preserve">La batalla por el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B01513"/>
                <w:lang w:eastAsia="es-ES"/>
              </w:rPr>
              <w:t>Totem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B01513"/>
                <w:lang w:eastAsia="es-ES"/>
              </w:rPr>
              <w:t xml:space="preserve"> de la verdad</w:t>
            </w:r>
          </w:p>
          <w:p w:rsidR="00235CB8" w:rsidRDefault="00235CB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B01513"/>
                <w:sz w:val="28"/>
                <w:szCs w:val="28"/>
                <w:lang w:eastAsia="es-ES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424B49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misterio de la persona humana. Fundamento de su dignidad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352E53" w:rsidP="00352E53">
            <w:pPr>
              <w:spacing w:after="0" w:line="240" w:lineRule="auto"/>
              <w:ind w:right="170"/>
              <w:jc w:val="both"/>
            </w:pP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 xml:space="preserve">1.3.2 </w:t>
            </w:r>
            <w:r w:rsidR="00424B49"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Investiga, obtiene datos estadísticos y analiza sacando conclusiones, comportamientos de los jóvenes que defienden o atentan contra la dignidad del ser humano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424B49" w:rsidRDefault="00DA4427" w:rsidP="00DA4427">
            <w:pPr>
              <w:spacing w:after="0" w:line="240" w:lineRule="auto"/>
              <w:ind w:left="50" w:right="170" w:hanging="50"/>
              <w:jc w:val="both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24B49">
              <w:rPr>
                <w:b/>
                <w:bCs/>
                <w:sz w:val="32"/>
                <w:szCs w:val="32"/>
              </w:rPr>
              <w:t>R</w:t>
            </w:r>
            <w:r w:rsidR="00424B49" w:rsidRPr="00424B49">
              <w:rPr>
                <w:b/>
                <w:bCs/>
                <w:sz w:val="32"/>
                <w:szCs w:val="32"/>
              </w:rPr>
              <w:t>ealizar un vídeo sobre los sin techos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42362C" w:rsidTr="0042362C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42362C" w:rsidRDefault="0042362C" w:rsidP="0042362C">
            <w:pPr>
              <w:spacing w:after="0" w:line="240" w:lineRule="auto"/>
              <w:ind w:left="50" w:right="170" w:hanging="50"/>
              <w:jc w:val="center"/>
              <w:rPr>
                <w:b/>
                <w:bCs/>
                <w:sz w:val="32"/>
                <w:szCs w:val="32"/>
              </w:rPr>
            </w:pPr>
            <w:r w:rsidRPr="00794D62">
              <w:rPr>
                <w:rFonts w:ascii="Arial" w:eastAsia="Times New Roman" w:hAnsi="Arial"/>
                <w:b/>
                <w:bCs/>
                <w:color w:val="B01513"/>
                <w:sz w:val="28"/>
                <w:szCs w:val="28"/>
                <w:lang w:eastAsia="es-ES"/>
              </w:rPr>
              <w:t xml:space="preserve">El desfiladero de </w:t>
            </w:r>
            <w:proofErr w:type="spellStart"/>
            <w:r w:rsidRPr="00794D62">
              <w:rPr>
                <w:rFonts w:ascii="Arial" w:eastAsia="Times New Roman" w:hAnsi="Arial"/>
                <w:b/>
                <w:bCs/>
                <w:color w:val="B01513"/>
                <w:sz w:val="28"/>
                <w:szCs w:val="28"/>
                <w:lang w:eastAsia="es-ES"/>
              </w:rPr>
              <w:t>Malik</w:t>
            </w:r>
            <w:proofErr w:type="spellEnd"/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bookmarkStart w:id="2" w:name="_GoBack"/>
            <w:bookmarkEnd w:id="2"/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5C85D6"/>
            <w:tcMar>
              <w:left w:w="-15" w:type="dxa"/>
            </w:tcMar>
          </w:tcPr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42362C" w:rsidRDefault="0042362C" w:rsidP="0042362C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794D62" w:rsidTr="00794D62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-15" w:type="dxa"/>
            </w:tcMar>
          </w:tcPr>
          <w:p w:rsidR="00794D62" w:rsidRDefault="00794D62" w:rsidP="00794D62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misterio de la persona humana. Fundamento de su dignidad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</w:tcPr>
          <w:p w:rsidR="00794D62" w:rsidRDefault="00794D62" w:rsidP="00794D62">
            <w:pPr>
              <w:spacing w:after="0" w:line="240" w:lineRule="auto"/>
              <w:ind w:right="170"/>
              <w:jc w:val="both"/>
            </w:pP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1.3.2 Investiga, obtiene datos estadísticos y analiza sacando conclusiones, comportamientos de los jóvenes que defienden o atentan contra la dignidad del ser humano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</w:tcPr>
          <w:p w:rsidR="00794D62" w:rsidRPr="00794D62" w:rsidRDefault="00794D62" w:rsidP="00794D62">
            <w:pPr>
              <w:spacing w:after="0" w:line="240" w:lineRule="auto"/>
              <w:ind w:left="50" w:right="170" w:hanging="50"/>
              <w:jc w:val="center"/>
              <w:rPr>
                <w:rFonts w:ascii="Arial" w:eastAsia="Times New Roman" w:hAnsi="Arial"/>
                <w:b/>
                <w:bCs/>
                <w:color w:val="B01513"/>
                <w:sz w:val="28"/>
                <w:szCs w:val="28"/>
                <w:lang w:eastAsia="es-ES"/>
              </w:rPr>
            </w:pPr>
            <w:r w:rsidRPr="00794D62">
              <w:rPr>
                <w:b/>
                <w:bCs/>
                <w:sz w:val="32"/>
                <w:szCs w:val="32"/>
              </w:rPr>
              <w:t>Trabajo sobre Eutanasia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794D62" w:rsidRDefault="00794D62" w:rsidP="00794D62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extopreformateado"/>
              <w:jc w:val="center"/>
              <w:rPr>
                <w:sz w:val="28"/>
                <w:szCs w:val="28"/>
              </w:rPr>
            </w:pPr>
            <w:bookmarkStart w:id="3" w:name="cc-m-header-15273058624"/>
            <w:bookmarkEnd w:id="3"/>
            <w:r>
              <w:rPr>
                <w:rFonts w:ascii="Arial" w:eastAsia="Times New Roman" w:hAnsi="Arial"/>
                <w:b/>
                <w:color w:val="B01513"/>
                <w:sz w:val="28"/>
                <w:szCs w:val="28"/>
                <w:lang w:eastAsia="es-ES"/>
              </w:rPr>
              <w:t xml:space="preserve">La invasión al país de </w:t>
            </w:r>
            <w:proofErr w:type="spellStart"/>
            <w:r>
              <w:rPr>
                <w:rFonts w:ascii="Arial" w:eastAsia="Times New Roman" w:hAnsi="Arial"/>
                <w:b/>
                <w:color w:val="B01513"/>
                <w:sz w:val="28"/>
                <w:szCs w:val="28"/>
                <w:lang w:eastAsia="es-ES"/>
              </w:rPr>
              <w:t>Hyfforddiant</w:t>
            </w:r>
            <w:proofErr w:type="spellEnd"/>
          </w:p>
          <w:p w:rsidR="00235CB8" w:rsidRDefault="00235C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424B49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misterio de la persona humana. Fundamento de su dignidad</w:t>
            </w:r>
          </w:p>
          <w:p w:rsidR="00424B49" w:rsidRDefault="00424B49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Diversas posturas ante el hecho religioso en la sociedad actual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pStyle w:val="Prrafodelista2"/>
              <w:spacing w:after="0" w:line="240" w:lineRule="auto"/>
              <w:ind w:left="0"/>
              <w:jc w:val="both"/>
              <w:rPr>
                <w:rFonts w:ascii="Arial" w:eastAsia="F" w:hAnsi="Arial" w:cs="Century Gothic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F" w:hAnsi="Arial" w:cs="Century Gothic"/>
                <w:color w:val="000000"/>
                <w:sz w:val="22"/>
                <w:szCs w:val="22"/>
                <w:lang w:eastAsia="zh-CN"/>
              </w:rPr>
              <w:t>1</w:t>
            </w:r>
            <w:r w:rsidR="00352E53">
              <w:rPr>
                <w:rFonts w:ascii="Arial" w:eastAsia="F" w:hAnsi="Arial" w:cs="Century Gothic"/>
                <w:color w:val="000000"/>
                <w:sz w:val="22"/>
                <w:szCs w:val="22"/>
                <w:lang w:eastAsia="zh-CN"/>
              </w:rPr>
              <w:t>.2</w:t>
            </w:r>
            <w:r>
              <w:rPr>
                <w:rFonts w:ascii="Arial" w:eastAsia="F" w:hAnsi="Arial" w:cs="Century Gothic"/>
                <w:color w:val="000000"/>
                <w:sz w:val="22"/>
                <w:szCs w:val="22"/>
                <w:lang w:eastAsia="zh-CN"/>
              </w:rPr>
              <w:t>.1 Identifica y diferencia la diversidad de respuestas salvíficas que muestran las religiones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424B49" w:rsidRPr="00424B49" w:rsidRDefault="00424B49" w:rsidP="00DA4427">
            <w:pPr>
              <w:autoSpaceDE w:val="0"/>
              <w:autoSpaceDN w:val="0"/>
              <w:adjustRightInd w:val="0"/>
              <w:spacing w:after="0" w:line="240" w:lineRule="auto"/>
              <w:ind w:left="50" w:hanging="50"/>
              <w:rPr>
                <w:rFonts w:ascii="Book Antiqua" w:eastAsia="SimSun" w:hAnsi="Book Antiqua" w:cs="Book Antiqua"/>
                <w:color w:val="000000"/>
                <w:sz w:val="24"/>
                <w:szCs w:val="24"/>
                <w:lang w:val="es-ES_tradnl" w:eastAsia="zh-CN"/>
              </w:rPr>
            </w:pPr>
          </w:p>
          <w:p w:rsidR="00424B49" w:rsidRDefault="00DA4427" w:rsidP="00DA4427">
            <w:pPr>
              <w:pStyle w:val="Contenidodelatabla"/>
              <w:spacing w:after="0" w:line="240" w:lineRule="auto"/>
              <w:ind w:left="50" w:hanging="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24B49" w:rsidRPr="00424B49">
              <w:rPr>
                <w:b/>
                <w:bCs/>
                <w:sz w:val="32"/>
                <w:szCs w:val="32"/>
              </w:rPr>
              <w:t>Ficha 1 Más allá de la muerte</w:t>
            </w:r>
          </w:p>
          <w:p w:rsidR="00424B49" w:rsidRDefault="00DA4427" w:rsidP="00DA4427">
            <w:pPr>
              <w:pStyle w:val="Contenidodelatabla"/>
              <w:spacing w:after="0" w:line="240" w:lineRule="auto"/>
              <w:ind w:left="50" w:hanging="50"/>
              <w:rPr>
                <w:rFonts w:ascii="Arial" w:eastAsia="F" w:hAnsi="Arial" w:cs="Century Gothic"/>
                <w:lang w:eastAsia="zh-CN" w:bidi="hi-IN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24B49" w:rsidRPr="00424B49">
              <w:rPr>
                <w:b/>
                <w:bCs/>
                <w:sz w:val="32"/>
                <w:szCs w:val="32"/>
              </w:rPr>
              <w:t>Ficha 2  El libro de los muertos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424B49" w:rsidTr="00AF1A16">
        <w:trPr>
          <w:trHeight w:val="662"/>
        </w:trPr>
        <w:tc>
          <w:tcPr>
            <w:tcW w:w="2775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rPr>
                <w:rFonts w:ascii="Arial" w:hAnsi="Arial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424B49" w:rsidRDefault="00424B49">
            <w:pPr>
              <w:pStyle w:val="Contenidodelatabla"/>
              <w:spacing w:after="0" w:line="240" w:lineRule="auto"/>
              <w:rPr>
                <w:rFonts w:ascii="Arial" w:eastAsia="F" w:hAnsi="Arial" w:cs="Century Gothic"/>
                <w:color w:val="000000"/>
                <w:lang w:eastAsia="zh-CN" w:bidi="hi-IN"/>
              </w:rPr>
            </w:pPr>
            <w:r>
              <w:rPr>
                <w:rFonts w:ascii="Arial" w:eastAsia="F" w:hAnsi="Arial" w:cs="Century Gothic"/>
                <w:color w:val="000000"/>
                <w:lang w:eastAsia="zh-CN" w:bidi="hi-IN"/>
              </w:rPr>
              <w:t>1</w:t>
            </w:r>
            <w:r w:rsidR="00352E53">
              <w:rPr>
                <w:rFonts w:ascii="Arial" w:eastAsia="F" w:hAnsi="Arial" w:cs="Century Gothic"/>
                <w:color w:val="000000"/>
                <w:lang w:eastAsia="zh-CN" w:bidi="hi-IN"/>
              </w:rPr>
              <w:t>.4</w:t>
            </w:r>
            <w:r>
              <w:rPr>
                <w:rFonts w:ascii="Arial" w:eastAsia="F" w:hAnsi="Arial" w:cs="Century Gothic"/>
                <w:color w:val="000000"/>
                <w:lang w:eastAsia="zh-CN" w:bidi="hi-IN"/>
              </w:rPr>
              <w:t>.1. Califica las respuestas de sentido que ofrece el ateísmo, agnosticismo o laicismo y las contrasta con la propuesta de salvación que ofrecen las religiones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424B49" w:rsidRDefault="00DA4427" w:rsidP="00DA4427">
            <w:pPr>
              <w:pStyle w:val="Contenidodelatabla"/>
              <w:spacing w:after="0" w:line="240" w:lineRule="auto"/>
              <w:ind w:left="50" w:hanging="50"/>
              <w:rPr>
                <w:b/>
                <w:bCs/>
                <w:sz w:val="32"/>
                <w:szCs w:val="32"/>
              </w:rPr>
            </w:pPr>
            <w:r>
              <w:rPr>
                <w:rFonts w:ascii="Arial" w:eastAsia="F" w:hAnsi="Arial" w:cs="Century Gothic"/>
                <w:color w:val="000000"/>
                <w:lang w:eastAsia="zh-CN" w:bidi="hi-IN"/>
              </w:rPr>
              <w:t xml:space="preserve"> </w:t>
            </w:r>
            <w:r w:rsidRPr="00DA4427">
              <w:rPr>
                <w:b/>
                <w:bCs/>
                <w:sz w:val="32"/>
                <w:szCs w:val="32"/>
              </w:rPr>
              <w:t>Ficha 3 Oráculo de Delfos</w:t>
            </w:r>
          </w:p>
          <w:p w:rsidR="00DA4427" w:rsidRDefault="00DA4427" w:rsidP="00DA4427">
            <w:pPr>
              <w:pStyle w:val="Contenidodelatabla"/>
              <w:spacing w:after="0" w:line="240" w:lineRule="auto"/>
              <w:ind w:left="50" w:hanging="50"/>
              <w:rPr>
                <w:rFonts w:ascii="Arial" w:eastAsia="F" w:hAnsi="Arial" w:cs="Century Gothic"/>
                <w:color w:val="000000"/>
                <w:lang w:eastAsia="zh-CN" w:bidi="hi-IN"/>
              </w:rPr>
            </w:pPr>
            <w:r>
              <w:rPr>
                <w:b/>
                <w:bCs/>
                <w:sz w:val="32"/>
                <w:szCs w:val="32"/>
              </w:rPr>
              <w:t xml:space="preserve"> Ficha 4 Eternidad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424B49" w:rsidRDefault="00424B49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4" w:name="cc-m-header-15273061324"/>
            <w:bookmarkEnd w:id="4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El sitio del balcón del héroe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DA4427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DA4427" w:rsidRDefault="00DA4427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Century Gothic"/>
                <w:bCs/>
                <w:color w:val="000000"/>
                <w:sz w:val="22"/>
                <w:szCs w:val="22"/>
              </w:rPr>
              <w:t>El misterio de la persona humana. Fundamento de su dignidad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DA4427" w:rsidRDefault="00DA4427">
            <w:pPr>
              <w:pStyle w:val="Contenidodelatabla"/>
              <w:spacing w:after="0" w:line="240" w:lineRule="auto"/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</w:pP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1</w:t>
            </w:r>
            <w:r w:rsidR="000242F2"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.4</w:t>
            </w:r>
            <w:r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  <w:t>.1. Califica las respuestas de sentido que ofrece el ateísmo, agnosticismo o laicismo y las contrasta con la propuesta de salvación que ofrecen las religiones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DA4427" w:rsidRDefault="00DA4427" w:rsidP="00DA4427">
            <w:pPr>
              <w:pStyle w:val="Contenidodelatabla"/>
              <w:spacing w:after="0" w:line="240" w:lineRule="auto"/>
              <w:ind w:left="50"/>
              <w:rPr>
                <w:rFonts w:ascii="Arial" w:eastAsia="F" w:hAnsi="Arial" w:cs="Century Gothic"/>
                <w:color w:val="000000"/>
                <w:highlight w:val="white"/>
                <w:lang w:eastAsia="zh-CN" w:bidi="hi-IN"/>
              </w:rPr>
            </w:pPr>
            <w:r w:rsidRPr="00DA4427">
              <w:rPr>
                <w:b/>
                <w:bCs/>
                <w:sz w:val="32"/>
                <w:szCs w:val="32"/>
              </w:rPr>
              <w:t>Dossier con reflexión profunda del grupo sobre el sentido de la vida</w:t>
            </w:r>
            <w:r>
              <w:rPr>
                <w:rFonts w:ascii="Arial" w:hAnsi="Arial" w:cs="Arial"/>
                <w:color w:val="464646"/>
                <w:shd w:val="clear" w:color="auto" w:fill="FFFFFF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A4427" w:rsidRDefault="00DA4427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66"/>
            <w:tcMar>
              <w:left w:w="-15" w:type="dxa"/>
            </w:tcMar>
          </w:tcPr>
          <w:p w:rsidR="00235CB8" w:rsidRDefault="00424B49">
            <w:pPr>
              <w:pStyle w:val="Prrafodelista2"/>
              <w:shd w:val="clear" w:color="auto" w:fill="FFFF6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2"/>
                <w:lang w:bidi="ar-SA"/>
              </w:rPr>
              <w:t>BLOQUE 2. DOCTRINA SOCIAL DE LA IGLESIA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235CB8">
        <w:trPr>
          <w:trHeight w:val="467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Prrafodelista2"/>
              <w:shd w:val="clear" w:color="auto" w:fill="FFCC99"/>
              <w:tabs>
                <w:tab w:val="left" w:pos="0"/>
              </w:tabs>
              <w:spacing w:after="0" w:line="240" w:lineRule="auto"/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color w:val="B01513"/>
                <w:sz w:val="28"/>
                <w:szCs w:val="28"/>
                <w:lang w:bidi="ar-SA"/>
              </w:rPr>
              <w:t xml:space="preserve">A por el territorio de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B01513"/>
                <w:sz w:val="28"/>
                <w:szCs w:val="28"/>
                <w:lang w:bidi="ar-SA"/>
              </w:rPr>
              <w:t>Ubuvila</w:t>
            </w:r>
            <w:proofErr w:type="spellEnd"/>
          </w:p>
        </w:tc>
        <w:tc>
          <w:tcPr>
            <w:tcW w:w="66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Pr="0016639A" w:rsidRDefault="0033352D" w:rsidP="0026373A">
            <w:pPr>
              <w:pStyle w:val="Prrafodelista1"/>
              <w:ind w:left="0"/>
              <w:jc w:val="both"/>
              <w:rPr>
                <w:lang w:val="es-ES_tradnl"/>
              </w:rPr>
            </w:pPr>
            <w:r w:rsidRPr="0016639A">
              <w:rPr>
                <w:rFonts w:ascii="Palatino Linotype" w:eastAsia="Times New Roman" w:hAnsi="Palatino Linotype" w:cs="Calibri"/>
                <w:bCs/>
                <w:color w:val="000000"/>
                <w:lang w:val="es-ES_tradnl"/>
              </w:rPr>
              <w:t>Origen y evolución de la doctrina social de la Iglesia</w:t>
            </w:r>
          </w:p>
          <w:p w:rsidR="0033352D" w:rsidRPr="0026373A" w:rsidRDefault="00333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Pr="0016639A" w:rsidRDefault="0033352D" w:rsidP="0026373A">
            <w:pPr>
              <w:pStyle w:val="Prrafodelista1"/>
              <w:tabs>
                <w:tab w:val="left" w:pos="0"/>
              </w:tabs>
              <w:ind w:left="80"/>
              <w:jc w:val="both"/>
              <w:rPr>
                <w:lang w:val="es-ES_tradnl"/>
              </w:rPr>
            </w:pPr>
            <w:r w:rsidRPr="0016639A">
              <w:rPr>
                <w:rFonts w:ascii="Palatino Linotype" w:eastAsia="Book Antiqua" w:hAnsi="Palatino Linotype" w:cs="Calibri"/>
                <w:color w:val="000000"/>
                <w:highlight w:val="white"/>
                <w:lang w:val="es-ES_tradnl"/>
              </w:rPr>
              <w:t>2.1.1 Identifica problemas sociales de finales del siglo XIX. Estudia su evolución hasta la actualidad y analiza las respuestas de la doctrina social de la Iglesia</w:t>
            </w:r>
          </w:p>
        </w:tc>
        <w:tc>
          <w:tcPr>
            <w:tcW w:w="311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spacing w:after="0" w:line="240" w:lineRule="auto"/>
              <w:jc w:val="both"/>
              <w:rPr>
                <w:rFonts w:ascii="Arial" w:hAnsi="Arial"/>
                <w:color w:val="212121"/>
                <w:highlight w:val="white"/>
                <w:lang w:val="es-ES_tradnl"/>
              </w:rPr>
            </w:pPr>
          </w:p>
          <w:p w:rsidR="0033352D" w:rsidRPr="0026373A" w:rsidRDefault="0033352D">
            <w:pPr>
              <w:spacing w:after="0" w:line="240" w:lineRule="auto"/>
              <w:jc w:val="both"/>
              <w:rPr>
                <w:rFonts w:ascii="Arial" w:hAnsi="Arial"/>
                <w:color w:val="212121"/>
                <w:highlight w:val="white"/>
                <w:lang w:val="es-ES_tradnl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3352D">
              <w:rPr>
                <w:b/>
                <w:bCs/>
                <w:sz w:val="32"/>
                <w:szCs w:val="32"/>
              </w:rPr>
              <w:t>Líneas de tiempo de la DSI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33352D" w:rsidTr="00AF1A16">
        <w:trPr>
          <w:trHeight w:val="1354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tabs>
                <w:tab w:val="left" w:pos="0"/>
              </w:tabs>
              <w:spacing w:after="0" w:line="240" w:lineRule="auto"/>
              <w:ind w:left="38" w:hanging="38"/>
              <w:jc w:val="both"/>
              <w:rPr>
                <w:rFonts w:ascii="Arial" w:hAnsi="Arial"/>
                <w:color w:val="212121"/>
                <w:highlight w:val="white"/>
              </w:rPr>
            </w:pPr>
            <w:r w:rsidRPr="0016639A">
              <w:rPr>
                <w:rFonts w:ascii="Palatino Linotype" w:eastAsia="Book Antiqua" w:hAnsi="Palatino Linotype" w:cs="Calibri"/>
                <w:color w:val="000000"/>
                <w:highlight w:val="white"/>
                <w:lang w:val="es-ES_tradnl"/>
              </w:rPr>
              <w:t>2.2.1 Elabora una definición personal sobre los términos, legal, ético y moral. Explica públicamente las diferencias entre los términos con la ayuda de medios audiovisuales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tabs>
                <w:tab w:val="left" w:pos="0"/>
              </w:tabs>
              <w:spacing w:after="0" w:line="240" w:lineRule="auto"/>
              <w:ind w:left="38" w:hanging="38"/>
              <w:jc w:val="both"/>
              <w:rPr>
                <w:rFonts w:ascii="Arial" w:hAnsi="Arial"/>
                <w:color w:val="212121"/>
                <w:highlight w:val="white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5" w:name="cc-m-header-15262781624"/>
            <w:bookmarkEnd w:id="5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La posesión de "luz de las naciones"</w:t>
            </w:r>
          </w:p>
          <w:p w:rsidR="00235CB8" w:rsidRDefault="00235C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color w:val="B01513"/>
                <w:sz w:val="28"/>
                <w:szCs w:val="28"/>
                <w:lang w:eastAsia="es-ES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es-ES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theme="minorHAnsi"/>
                <w:bCs/>
                <w:color w:val="000000"/>
                <w:sz w:val="22"/>
                <w:szCs w:val="22"/>
                <w:lang w:eastAsia="zh-CN"/>
              </w:rPr>
              <w:t>Origen y evolución de la doctrina social de la Iglesia</w:t>
            </w:r>
          </w:p>
          <w:p w:rsidR="0033352D" w:rsidRDefault="0033352D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theme="minorHAnsi"/>
                <w:bCs/>
                <w:color w:val="000000"/>
                <w:lang w:eastAsia="zh-CN" w:bidi="hi-IN"/>
              </w:rPr>
              <w:t>Principios fundamentales de la doctrina social de la Iglesia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2"/>
              <w:spacing w:after="0" w:line="240" w:lineRule="auto"/>
              <w:ind w:left="0"/>
              <w:jc w:val="both"/>
            </w:pPr>
            <w:r>
              <w:rPr>
                <w:rFonts w:ascii="Arial" w:eastAsia="F" w:hAnsi="Arial" w:cstheme="minorHAnsi"/>
                <w:color w:val="000000"/>
                <w:sz w:val="22"/>
                <w:szCs w:val="22"/>
                <w:lang w:eastAsia="zh-CN"/>
              </w:rPr>
              <w:t>2.2.1. Elabora una definición personal sobre los términos, legal, ético y moral. Explica públicamente las diferencias entre los términos con la ayuda de medios audiovisuales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pStyle w:val="Prrafodelista2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b/>
                <w:bCs/>
                <w:color w:val="464646"/>
                <w:shd w:val="clear" w:color="auto" w:fill="FFFFFF"/>
              </w:rPr>
              <w:t xml:space="preserve"> Ver juzgar actuar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6" w:name="cc-m-header-15262619024"/>
            <w:bookmarkEnd w:id="6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 xml:space="preserve">Venciendo a la tribu de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Lust</w:t>
            </w:r>
            <w:proofErr w:type="spellEnd"/>
          </w:p>
          <w:p w:rsidR="00235CB8" w:rsidRDefault="00235C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lang w:eastAsia="es-ES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F" w:hAnsi="Arial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F" w:hAnsi="Arial" w:cstheme="minorHAnsi"/>
                <w:bCs/>
                <w:color w:val="000000"/>
                <w:sz w:val="22"/>
                <w:szCs w:val="22"/>
                <w:lang w:eastAsia="zh-CN"/>
              </w:rPr>
              <w:t>La persona, la vida, el trabajo</w:t>
            </w:r>
          </w:p>
          <w:p w:rsidR="0033352D" w:rsidRDefault="0033352D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>
              <w:rPr>
                <w:rFonts w:ascii="Arial" w:eastAsia="F" w:hAnsi="Arial" w:cstheme="minorHAnsi"/>
                <w:bCs/>
                <w:color w:val="000000"/>
                <w:lang w:eastAsia="zh-CN" w:bidi="hi-IN"/>
              </w:rPr>
              <w:t>Las relaciones internacionales y la economía a la luz de la doctrina eclesial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Contenidodelatabla"/>
              <w:spacing w:after="0" w:line="240" w:lineRule="auto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>
              <w:rPr>
                <w:rFonts w:ascii="Arial" w:eastAsia="F" w:hAnsi="Arial" w:cstheme="minorHAnsi"/>
                <w:color w:val="000000"/>
                <w:lang w:eastAsia="zh-CN" w:bidi="hi-IN"/>
              </w:rPr>
              <w:t>2.1.1.Descubre, valora y justifica el sentido humanizador que tiene el trabajo</w:t>
            </w:r>
          </w:p>
        </w:tc>
        <w:tc>
          <w:tcPr>
            <w:tcW w:w="311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Pr="0033352D" w:rsidRDefault="0033352D" w:rsidP="0033352D">
            <w:pPr>
              <w:pStyle w:val="Default"/>
              <w:rPr>
                <w:rFonts w:ascii="Book Antiqua" w:hAnsi="Book Antiqua" w:cs="Book Antiqua"/>
              </w:rPr>
            </w:pPr>
            <w:r>
              <w:rPr>
                <w:rFonts w:ascii="Arial" w:eastAsia="F" w:hAnsi="Arial" w:cstheme="minorHAnsi"/>
                <w:lang w:bidi="hi-IN"/>
              </w:rPr>
              <w:t xml:space="preserve"> </w:t>
            </w:r>
          </w:p>
          <w:p w:rsidR="0033352D" w:rsidRDefault="0033352D" w:rsidP="0033352D">
            <w:pPr>
              <w:pStyle w:val="Contenidodelatabla"/>
              <w:spacing w:after="0" w:line="240" w:lineRule="auto"/>
              <w:ind w:left="50" w:hanging="50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 w:rsidRPr="0033352D">
              <w:rPr>
                <w:rFonts w:ascii="Book Antiqua" w:eastAsia="SimSun" w:hAnsi="Book Antiqua" w:cs="Book Antiqua"/>
                <w:color w:val="000000"/>
                <w:sz w:val="24"/>
                <w:szCs w:val="24"/>
                <w:lang w:val="es-ES_tradnl" w:eastAsia="zh-CN"/>
              </w:rPr>
              <w:t xml:space="preserve"> </w:t>
            </w:r>
            <w:r w:rsidRPr="0033352D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Los problemas que te preocupan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F" w:hAnsi="Arial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Contenidodelatabla"/>
              <w:spacing w:after="0" w:line="240" w:lineRule="auto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>
              <w:rPr>
                <w:rFonts w:ascii="Arial" w:eastAsia="F" w:hAnsi="Arial" w:cstheme="minorHAnsi"/>
                <w:color w:val="000000"/>
                <w:lang w:eastAsia="zh-CN" w:bidi="hi-IN"/>
              </w:rPr>
              <w:t>2.2.1.Propone proyectos o soluciones que podrían llevarse a cabo en las políticas nacionales o internacionales para hacer el mundo más humano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pStyle w:val="Contenidodelatabla"/>
              <w:spacing w:after="0" w:line="240" w:lineRule="auto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shd w:val="clear" w:color="auto" w:fill="FFCC99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7" w:name="cc-m-header-15276396724"/>
            <w:bookmarkEnd w:id="7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La recuperación del árbol del conocimiento</w:t>
            </w:r>
          </w:p>
          <w:p w:rsidR="00235CB8" w:rsidRDefault="00235CB8">
            <w:pPr>
              <w:pStyle w:val="Prrafodelista2"/>
              <w:shd w:val="clear" w:color="auto" w:fill="FFCC9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F" w:hAnsi="Arial" w:cs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 w:rsidP="0033352D">
            <w:pPr>
              <w:pStyle w:val="Prrafodelista1"/>
              <w:tabs>
                <w:tab w:val="left" w:pos="0"/>
              </w:tabs>
              <w:spacing w:after="0" w:line="240" w:lineRule="auto"/>
              <w:ind w:left="0"/>
              <w:jc w:val="both"/>
            </w:pPr>
            <w:r>
              <w:rPr>
                <w:rFonts w:ascii="Arial" w:eastAsia="F" w:hAnsi="Arial" w:cstheme="minorHAnsi"/>
                <w:bCs/>
                <w:color w:val="000000"/>
                <w:highlight w:val="white"/>
                <w:lang w:eastAsia="zh-CN" w:bidi="hi-IN"/>
              </w:rPr>
              <w:t>Principios fundamentales de la doctrina social de la Iglesia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Contenidodelatabla"/>
              <w:spacing w:after="0" w:line="240" w:lineRule="auto"/>
              <w:ind w:left="57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>
              <w:rPr>
                <w:rFonts w:ascii="Arial" w:eastAsia="F" w:hAnsi="Arial" w:cstheme="minorHAnsi"/>
                <w:color w:val="000000"/>
                <w:lang w:eastAsia="zh-CN" w:bidi="hi-IN"/>
              </w:rPr>
              <w:t xml:space="preserve"> </w:t>
            </w:r>
            <w:r>
              <w:rPr>
                <w:rFonts w:ascii="Arial" w:eastAsia="F" w:hAnsi="Arial" w:cstheme="minorHAnsi"/>
                <w:color w:val="000000"/>
                <w:highlight w:val="white"/>
                <w:lang w:eastAsia="zh-CN" w:bidi="hi-IN"/>
              </w:rPr>
              <w:t>2.3.1 Comprende y define con palabras personales el significado de bien común, destino universal de los bienes y subsidiariedad. Aplica a situaciones concretas dichos principios justificando el pensamiento social de la Iglesia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pStyle w:val="Contenidodelatabla"/>
              <w:spacing w:after="0" w:line="240" w:lineRule="auto"/>
              <w:ind w:left="57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</w:p>
          <w:p w:rsidR="0033352D" w:rsidRDefault="0033352D">
            <w:pPr>
              <w:pStyle w:val="Contenidodelatabla"/>
              <w:spacing w:after="0" w:line="240" w:lineRule="auto"/>
              <w:ind w:left="57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</w:p>
          <w:p w:rsidR="0033352D" w:rsidRDefault="0033352D">
            <w:pPr>
              <w:pStyle w:val="Contenidodelatabla"/>
              <w:spacing w:after="0" w:line="240" w:lineRule="auto"/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  <w:r>
              <w:rPr>
                <w:rFonts w:ascii="Arial" w:hAnsi="Arial" w:cs="Arial"/>
                <w:b/>
                <w:bCs/>
                <w:color w:val="464646"/>
                <w:shd w:val="clear" w:color="auto" w:fill="FFFFFF"/>
              </w:rPr>
              <w:t> </w:t>
            </w:r>
            <w:r w:rsidRPr="0033352D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Principios de la </w:t>
            </w:r>
          </w:p>
          <w:p w:rsidR="0033352D" w:rsidRDefault="0033352D">
            <w:pPr>
              <w:pStyle w:val="Contenidodelatabla"/>
              <w:spacing w:after="0" w:line="240" w:lineRule="auto"/>
              <w:ind w:left="57"/>
              <w:jc w:val="both"/>
              <w:rPr>
                <w:rFonts w:ascii="Arial" w:eastAsia="F" w:hAnsi="Arial" w:cstheme="minorHAnsi"/>
                <w:color w:val="00000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 </w:t>
            </w:r>
            <w:r w:rsidRPr="0033352D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Doctrina Social</w:t>
            </w:r>
            <w:r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 de la Iglesia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66"/>
            <w:tcMar>
              <w:left w:w="-15" w:type="dxa"/>
            </w:tcMar>
          </w:tcPr>
          <w:p w:rsidR="00235CB8" w:rsidRDefault="00424B49">
            <w:pPr>
              <w:pStyle w:val="Prrafodelista1"/>
              <w:shd w:val="clear" w:color="auto" w:fill="FFFF66"/>
              <w:tabs>
                <w:tab w:val="left" w:pos="0"/>
              </w:tabs>
              <w:spacing w:after="0" w:line="240" w:lineRule="auto"/>
              <w:ind w:left="227"/>
              <w:jc w:val="both"/>
            </w:pPr>
            <w:r w:rsidRPr="00424B49">
              <w:rPr>
                <w:rFonts w:ascii="Palatino Linotype" w:eastAsia="Times New Roman" w:hAnsi="Palatino Linotype" w:cs="Calibri"/>
                <w:b/>
                <w:bCs/>
                <w:color w:val="000000"/>
                <w:lang w:val="es-ES_tradnl" w:eastAsia="es-ES"/>
              </w:rPr>
              <w:t>BLOQUE 3. RELACIÓN ENTRE LA RAZÓN, LA CIENCIA Y LA FE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235CB8">
        <w:trPr>
          <w:trHeight w:val="491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8" w:name="cc-m-header-15276551424"/>
            <w:bookmarkEnd w:id="8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Anexando el condado de Litótita</w:t>
            </w:r>
          </w:p>
        </w:tc>
        <w:tc>
          <w:tcPr>
            <w:tcW w:w="66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6600"/>
            <w:tcMar>
              <w:left w:w="-15" w:type="dxa"/>
            </w:tcMar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424B49">
              <w:rPr>
                <w:rFonts w:ascii="Arial" w:eastAsia="Times New Roman" w:hAnsi="Arial" w:cs="Calibri"/>
                <w:bCs/>
                <w:color w:val="000000"/>
                <w:lang w:val="es-ES_tradnl" w:eastAsia="zh-CN" w:bidi="hi-IN"/>
              </w:rPr>
              <w:t>Formas de conocimiento a lo largo de la historia con las que el ser humano descubre la realidad y la verdad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</w:rPr>
            </w:pPr>
            <w:r w:rsidRPr="00424B49">
              <w:rPr>
                <w:rFonts w:ascii="Arial" w:hAnsi="Arial" w:cs="Calibri"/>
                <w:color w:val="000000"/>
                <w:lang w:val="es-ES_tradnl"/>
              </w:rPr>
              <w:t xml:space="preserve">3.1.1 Identifica, a través de fuentes, los diferentes métodos de conocer la verdad en la filosofía, la teología, la ciencia y la técnica. </w:t>
            </w:r>
            <w:r w:rsidRPr="00AF1A16">
              <w:rPr>
                <w:rFonts w:ascii="Arial" w:hAnsi="Arial" w:cs="Calibri"/>
                <w:color w:val="000000"/>
                <w:lang w:val="es-ES_tradnl"/>
              </w:rPr>
              <w:t>Distingue qué aspectos de la realidad permite conocer cada método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P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  <w:r w:rsidRPr="0083229E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 Ordenando Preguntas</w:t>
            </w:r>
          </w:p>
          <w:p w:rsidR="0083229E" w:rsidRP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  <w:r w:rsidRPr="0083229E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Reflexiones Ciencia Fe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83229E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424B49">
              <w:rPr>
                <w:rFonts w:ascii="Arial" w:eastAsia="Times New Roman" w:hAnsi="Arial" w:cs="Calibri"/>
                <w:bCs/>
                <w:color w:val="000000"/>
                <w:highlight w:val="white"/>
                <w:lang w:val="es-ES_tradnl" w:eastAsia="zh-CN" w:bidi="hi-IN"/>
              </w:rPr>
              <w:t xml:space="preserve">Vínculo indisoluble entre ciencia y </w:t>
            </w:r>
            <w:proofErr w:type="spellStart"/>
            <w:r w:rsidRPr="00424B49">
              <w:rPr>
                <w:rFonts w:ascii="Arial" w:eastAsia="Times New Roman" w:hAnsi="Arial" w:cs="Calibri"/>
                <w:bCs/>
                <w:color w:val="000000"/>
                <w:highlight w:val="white"/>
                <w:lang w:val="es-ES_tradnl" w:eastAsia="zh-CN" w:bidi="hi-IN"/>
              </w:rPr>
              <w:t>étic</w:t>
            </w:r>
            <w:proofErr w:type="spellEnd"/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</w:rPr>
            </w:pPr>
            <w:r w:rsidRPr="00424B49">
              <w:rPr>
                <w:rFonts w:ascii="Arial" w:hAnsi="Arial" w:cs="Calibri"/>
                <w:color w:val="000000"/>
                <w:lang w:val="es-ES_tradnl"/>
              </w:rPr>
              <w:t>3.3.1 Aprende, acepta y respeta que el criterio ético nace del reconocimiento de la dignidad humana</w:t>
            </w:r>
          </w:p>
        </w:tc>
        <w:tc>
          <w:tcPr>
            <w:tcW w:w="311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83229E" w:rsidRP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</w:p>
          <w:p w:rsidR="0083229E" w:rsidRP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</w:p>
          <w:p w:rsidR="0083229E" w:rsidRP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  <w:r w:rsidRPr="0083229E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Vínculo entre ciencia y ética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83229E" w:rsidTr="00AF1A16">
        <w:trPr>
          <w:trHeight w:val="662"/>
        </w:trPr>
        <w:tc>
          <w:tcPr>
            <w:tcW w:w="2775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>
            <w:pPr>
              <w:pStyle w:val="Prrafodelista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lang w:eastAsia="zh-CN" w:bidi="hi-IN"/>
              </w:rPr>
            </w:pPr>
            <w:r w:rsidRPr="00424B49">
              <w:rPr>
                <w:rFonts w:ascii="Arial" w:eastAsia="Book Antiqua" w:hAnsi="Arial" w:cs="Calibri"/>
                <w:color w:val="000000"/>
                <w:highlight w:val="white"/>
                <w:lang w:val="es-ES_tradnl" w:eastAsia="zh-CN" w:bidi="hi-IN"/>
              </w:rPr>
              <w:t>3.3.2 Analiza casos y debate de manera razonada las consecuencias que se derivan de un uso de la ciencia sin referencia ético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9" w:name="cc-m-header-15276561324"/>
            <w:bookmarkEnd w:id="9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El asalto al palacio de la mesa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lang w:eastAsia="zh-CN" w:bidi="hi-IN"/>
              </w:rPr>
            </w:pPr>
            <w:r w:rsidRPr="00424B49">
              <w:rPr>
                <w:rFonts w:ascii="Arial" w:eastAsia="Times New Roman" w:hAnsi="Arial" w:cs="Calibri"/>
                <w:bCs/>
                <w:color w:val="000000"/>
                <w:lang w:val="es-ES_tradnl" w:eastAsia="zh-CN" w:bidi="hi-IN"/>
              </w:rPr>
              <w:t>Formas de conocimiento a lo largo de la historia con las que el ser humano descubre la realidad y la verdad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</w:rPr>
            </w:pPr>
            <w:r w:rsidRPr="00424B49">
              <w:rPr>
                <w:rFonts w:ascii="Arial" w:hAnsi="Arial" w:cs="Calibri"/>
                <w:color w:val="000000"/>
                <w:lang w:val="es-ES_tradnl"/>
              </w:rPr>
              <w:t>3.1.1 Identifica, a través de fuentes, los diferentes métodos de conocer la verdad en la filosofía, la teología, la ciencia y la técnica. Distingue qué aspectos de la realidad permite conocer cada método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</w:rPr>
            </w:pPr>
          </w:p>
          <w:p w:rsidR="0083229E" w:rsidRDefault="0083229E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C</w:t>
            </w:r>
            <w:r w:rsidRPr="0083229E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onocimiento de la verdad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</w:pPr>
            <w:bookmarkStart w:id="10" w:name="cc-m-header-15287615824"/>
            <w:bookmarkEnd w:id="10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 xml:space="preserve">Consiguiendo el marquesado de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Harag</w:t>
            </w:r>
            <w:proofErr w:type="spellEnd"/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83229E" w:rsidTr="00AF1A16">
        <w:trPr>
          <w:trHeight w:val="836"/>
        </w:trPr>
        <w:tc>
          <w:tcPr>
            <w:tcW w:w="27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 w:rsidP="0083229E">
            <w:pPr>
              <w:pStyle w:val="Prrafodelista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424B49">
              <w:rPr>
                <w:rFonts w:ascii="Arial" w:eastAsia="Times New Roman" w:hAnsi="Arial" w:cs="Calibri"/>
                <w:bCs/>
                <w:color w:val="000000"/>
                <w:lang w:val="es-ES_tradnl" w:eastAsia="zh-CN" w:bidi="hi-IN"/>
              </w:rPr>
              <w:t>Recorrido histórico de las relaciones entre la ciencia y la fe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lang w:eastAsia="zh-CN" w:bidi="hi-IN"/>
              </w:rPr>
            </w:pPr>
            <w:r>
              <w:rPr>
                <w:rFonts w:ascii="Arial" w:eastAsia="F" w:hAnsi="Arial" w:cstheme="minorHAnsi"/>
                <w:color w:val="000000"/>
                <w:highlight w:val="white"/>
                <w:lang w:eastAsia="zh-CN" w:bidi="hi-IN"/>
              </w:rPr>
              <w:t>3.2.1 Reconoce con asombro y se esfuerza por comprender el origen divino del cosmos y distingue que no proviene del caos al azar</w:t>
            </w:r>
          </w:p>
        </w:tc>
        <w:tc>
          <w:tcPr>
            <w:tcW w:w="311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83229E" w:rsidRP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</w:p>
          <w:p w:rsidR="0083229E" w:rsidRPr="0083229E" w:rsidRDefault="0083229E" w:rsidP="0083229E">
            <w:pPr>
              <w:pStyle w:val="Default"/>
              <w:rPr>
                <w:rFonts w:ascii="Arial" w:hAnsi="Arial" w:cs="Arial"/>
                <w:b/>
                <w:bCs/>
                <w:color w:val="464646"/>
                <w:shd w:val="clear" w:color="auto" w:fill="FFFFFF"/>
                <w:lang w:val="es-ES" w:eastAsia="es-ES" w:bidi="hi-IN"/>
              </w:rPr>
            </w:pPr>
          </w:p>
          <w:p w:rsidR="0083229E" w:rsidRPr="0083229E" w:rsidRDefault="0083229E" w:rsidP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</w:pPr>
            <w:r w:rsidRPr="0083229E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 La verdadera postura de la Iglesia ante los casos famosos</w:t>
            </w:r>
          </w:p>
        </w:tc>
        <w:tc>
          <w:tcPr>
            <w:tcW w:w="66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9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83229E" w:rsidTr="00AF1A16">
        <w:trPr>
          <w:trHeight w:val="836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Pr="00424B49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Calibri"/>
                <w:bCs/>
                <w:color w:val="000000"/>
                <w:lang w:val="es-ES_tradnl" w:eastAsia="zh-CN" w:bidi="hi-IN"/>
              </w:rPr>
            </w:pP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83229E" w:rsidRPr="00424B49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Arial" w:eastAsia="Book Antiqua" w:hAnsi="Arial" w:cs="Calibri"/>
                <w:color w:val="000000"/>
                <w:highlight w:val="white"/>
                <w:lang w:val="es-ES_tradnl" w:eastAsia="zh-CN" w:bidi="hi-IN"/>
              </w:rPr>
            </w:pPr>
            <w:r w:rsidRPr="00424B49">
              <w:rPr>
                <w:rFonts w:ascii="Arial" w:eastAsia="Book Antiqua" w:hAnsi="Arial" w:cs="Calibri"/>
                <w:color w:val="000000"/>
                <w:highlight w:val="white"/>
                <w:lang w:val="es-ES_tradnl" w:eastAsia="zh-CN" w:bidi="hi-IN"/>
              </w:rPr>
              <w:t>3.2.2 Se informa con rigor y debate respetuosamente sobre el caso de Galileo, Servet, etc. Escribe su opinión, justificando razonadamente las causas y consecuencias de dichos conflictos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83229E" w:rsidRDefault="0083229E">
            <w:pPr>
              <w:pStyle w:val="Prrafodelista1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3229E" w:rsidRDefault="0083229E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hAnsi="Arial"/>
              </w:rPr>
            </w:pPr>
            <w:bookmarkStart w:id="11" w:name="cc-m-header-15295184524"/>
            <w:bookmarkEnd w:id="11"/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La derrota del Dragón del Averno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424B49">
              <w:rPr>
                <w:rFonts w:ascii="Arial" w:eastAsia="Times New Roman" w:hAnsi="Arial" w:cs="Calibri"/>
                <w:bCs/>
                <w:color w:val="000000"/>
                <w:lang w:val="es-ES_tradnl" w:eastAsia="zh-CN" w:bidi="hi-IN"/>
              </w:rPr>
              <w:t>Formas de conocimiento a lo largo de la historia con las que el ser humano descubre la realidad y la verdad</w:t>
            </w:r>
          </w:p>
        </w:tc>
        <w:tc>
          <w:tcPr>
            <w:tcW w:w="43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Pr="00AF1A16" w:rsidRDefault="0033352D" w:rsidP="00AF1A16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Arial" w:hAnsi="Arial"/>
                <w:lang w:val="es-ES_tradnl"/>
              </w:rPr>
            </w:pPr>
            <w:r w:rsidRPr="00424B49">
              <w:rPr>
                <w:rFonts w:ascii="Arial" w:hAnsi="Arial" w:cs="Calibri"/>
                <w:color w:val="000000"/>
                <w:lang w:val="es-ES_tradnl"/>
              </w:rPr>
              <w:t xml:space="preserve">3.1.1 Identifica, a través de fuentes, los diferentes métodos de conocer la verdad en la filosofía, la teología, la ciencia y la técnica. </w:t>
            </w:r>
            <w:r w:rsidRPr="00AF1A16">
              <w:rPr>
                <w:rFonts w:ascii="Arial" w:hAnsi="Arial" w:cs="Calibri"/>
                <w:color w:val="000000"/>
                <w:lang w:val="es-ES_tradnl"/>
              </w:rPr>
              <w:t>Distingue qué aspectos de la realidad permite conocer cada método</w:t>
            </w:r>
          </w:p>
        </w:tc>
        <w:tc>
          <w:tcPr>
            <w:tcW w:w="3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Pr="00AF1A16" w:rsidRDefault="0033352D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cs="Calibri"/>
                <w:color w:val="000000"/>
                <w:lang w:val="es-ES_tradnl"/>
              </w:rPr>
            </w:pPr>
          </w:p>
          <w:p w:rsidR="0033352D" w:rsidRPr="0083229E" w:rsidRDefault="00AF1A16" w:rsidP="00AF1A16">
            <w:pPr>
              <w:pStyle w:val="Prrafodelista1"/>
              <w:tabs>
                <w:tab w:val="left" w:pos="0"/>
              </w:tabs>
              <w:ind w:left="57"/>
              <w:rPr>
                <w:rFonts w:cs="Calibri"/>
                <w:color w:val="000000"/>
                <w:lang w:val="es-ES_tradnl"/>
              </w:rPr>
            </w:pPr>
            <w:r w:rsidRPr="00AF1A16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El diálogo entre científicos y cristiano</w:t>
            </w:r>
          </w:p>
        </w:tc>
        <w:tc>
          <w:tcPr>
            <w:tcW w:w="6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66"/>
            <w:tcMar>
              <w:left w:w="-15" w:type="dxa"/>
            </w:tcMar>
          </w:tcPr>
          <w:p w:rsidR="00235CB8" w:rsidRDefault="00424B49">
            <w:pPr>
              <w:pStyle w:val="Prrafodelista1"/>
              <w:shd w:val="clear" w:color="auto" w:fill="FFFF66"/>
              <w:tabs>
                <w:tab w:val="left" w:pos="0"/>
              </w:tabs>
              <w:spacing w:after="0" w:line="240" w:lineRule="auto"/>
              <w:ind w:left="46"/>
              <w:jc w:val="both"/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BLOQUE 4: LA IGLESIA GENERADORA DE CULTURA  A LO LARGO DE LA HISTORIA</w:t>
            </w:r>
          </w:p>
        </w:tc>
        <w:tc>
          <w:tcPr>
            <w:tcW w:w="660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L</w:t>
            </w:r>
          </w:p>
        </w:tc>
        <w:tc>
          <w:tcPr>
            <w:tcW w:w="690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M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T</w:t>
            </w:r>
          </w:p>
        </w:tc>
        <w:tc>
          <w:tcPr>
            <w:tcW w:w="600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D</w:t>
            </w:r>
          </w:p>
        </w:tc>
        <w:tc>
          <w:tcPr>
            <w:tcW w:w="600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A</w:t>
            </w:r>
          </w:p>
        </w:tc>
        <w:tc>
          <w:tcPr>
            <w:tcW w:w="705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  <w:tc>
          <w:tcPr>
            <w:tcW w:w="735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S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I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</w:tc>
        <w:tc>
          <w:tcPr>
            <w:tcW w:w="705" w:type="dxa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6699CC"/>
            <w:tcMar>
              <w:left w:w="-15" w:type="dxa"/>
            </w:tcMar>
          </w:tcPr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E</w:t>
            </w:r>
          </w:p>
          <w:p w:rsidR="00235CB8" w:rsidRDefault="00424B49">
            <w:pPr>
              <w:keepNext/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lang w:eastAsia="es-ES"/>
              </w:rPr>
              <w:t>C</w:t>
            </w:r>
          </w:p>
        </w:tc>
      </w:tr>
      <w:tr w:rsidR="00235CB8">
        <w:trPr>
          <w:trHeight w:val="662"/>
        </w:trPr>
        <w:tc>
          <w:tcPr>
            <w:tcW w:w="10245" w:type="dxa"/>
            <w:gridSpan w:val="4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235CB8" w:rsidRDefault="00424B49">
            <w:pPr>
              <w:pStyle w:val="Ttulo2"/>
              <w:shd w:val="clear" w:color="auto" w:fill="FFCC99"/>
              <w:tabs>
                <w:tab w:val="left" w:pos="0"/>
              </w:tabs>
              <w:spacing w:before="0" w:after="0" w:line="240" w:lineRule="auto"/>
              <w:jc w:val="center"/>
            </w:pPr>
            <w:r>
              <w:rPr>
                <w:rFonts w:ascii="Arial" w:eastAsia="Times New Roman" w:hAnsi="Arial" w:cs="Times New Roman"/>
                <w:b/>
                <w:color w:val="B01513"/>
                <w:lang w:eastAsia="es-ES"/>
              </w:rPr>
              <w:t>Reconquistando el condado de Gier</w:t>
            </w:r>
          </w:p>
        </w:tc>
        <w:tc>
          <w:tcPr>
            <w:tcW w:w="66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</w:pPr>
          </w:p>
        </w:tc>
        <w:tc>
          <w:tcPr>
            <w:tcW w:w="69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</w:pPr>
          </w:p>
        </w:tc>
        <w:tc>
          <w:tcPr>
            <w:tcW w:w="73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235CB8" w:rsidRDefault="00235CB8">
            <w:pPr>
              <w:spacing w:after="0" w:line="240" w:lineRule="auto"/>
              <w:jc w:val="center"/>
            </w:pP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bCs/>
                <w:color w:val="000000"/>
              </w:rPr>
              <w:t>Significado del término y dimensiones de la cultura</w:t>
            </w:r>
          </w:p>
          <w:p w:rsidR="0033352D" w:rsidRDefault="0033352D">
            <w:pPr>
              <w:pStyle w:val="Prrafodelista1"/>
              <w:tabs>
                <w:tab w:val="left" w:pos="165"/>
              </w:tabs>
              <w:spacing w:after="0" w:line="240" w:lineRule="auto"/>
              <w:ind w:left="-136"/>
              <w:jc w:val="both"/>
              <w:rPr>
                <w:rFonts w:ascii="Arial" w:eastAsia="Times New Roman" w:hAnsi="Arial" w:cs="Calibri"/>
                <w:bCs/>
                <w:color w:val="000000"/>
              </w:rPr>
            </w:pPr>
          </w:p>
        </w:tc>
        <w:tc>
          <w:tcPr>
            <w:tcW w:w="435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tabs>
                <w:tab w:val="left" w:pos="0"/>
              </w:tabs>
              <w:spacing w:after="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Calibri"/>
                <w:color w:val="000000"/>
                <w:highlight w:val="white"/>
              </w:rPr>
              <w:t>4.1.1 Estudia, analiza y define el concepto de cultura en diferentes épocas y lo contrasta con el carácter antropológico de la enseñanza de la Iglesia</w:t>
            </w:r>
          </w:p>
        </w:tc>
        <w:tc>
          <w:tcPr>
            <w:tcW w:w="3112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3352D" w:rsidRDefault="0033352D">
            <w:pPr>
              <w:pStyle w:val="Prrafodelista1"/>
              <w:tabs>
                <w:tab w:val="left" w:pos="0"/>
              </w:tabs>
              <w:spacing w:after="0"/>
              <w:ind w:left="57"/>
              <w:jc w:val="both"/>
              <w:rPr>
                <w:rFonts w:ascii="Arial" w:hAnsi="Arial"/>
              </w:rPr>
            </w:pPr>
          </w:p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57"/>
              <w:jc w:val="both"/>
              <w:rPr>
                <w:rFonts w:ascii="Arial" w:hAnsi="Arial"/>
              </w:rPr>
            </w:pPr>
          </w:p>
          <w:p w:rsidR="00AF1A16" w:rsidRDefault="00AF1A16" w:rsidP="00AF1A16">
            <w:pPr>
              <w:pStyle w:val="Prrafodelista1"/>
              <w:tabs>
                <w:tab w:val="left" w:pos="0"/>
              </w:tabs>
              <w:spacing w:after="0"/>
              <w:ind w:left="57"/>
              <w:jc w:val="both"/>
              <w:rPr>
                <w:rFonts w:ascii="Arial" w:hAnsi="Arial"/>
              </w:rPr>
            </w:pPr>
            <w:r>
              <w:t xml:space="preserve"> </w:t>
            </w:r>
            <w:r w:rsidRPr="00AF1A16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Somos seres culturales</w:t>
            </w:r>
          </w:p>
        </w:tc>
        <w:tc>
          <w:tcPr>
            <w:tcW w:w="66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9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3352D" w:rsidTr="00AF1A16">
        <w:trPr>
          <w:trHeight w:val="662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>
            <w:pPr>
              <w:pStyle w:val="Prrafodelista1"/>
              <w:numPr>
                <w:ilvl w:val="0"/>
                <w:numId w:val="1"/>
              </w:numPr>
              <w:ind w:left="-136" w:firstLine="0"/>
              <w:jc w:val="both"/>
              <w:rPr>
                <w:rFonts w:ascii="Arial" w:hAnsi="Arial"/>
              </w:rPr>
            </w:pPr>
          </w:p>
        </w:tc>
        <w:tc>
          <w:tcPr>
            <w:tcW w:w="435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33352D" w:rsidRDefault="0033352D" w:rsidP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Calibri"/>
                <w:color w:val="000000"/>
                <w:highlight w:val="white"/>
              </w:rPr>
              <w:t>4.2.1 Identifica los elementos propios de diversas culturas y elabora un material audiovisual donde los compare críticamente</w:t>
            </w:r>
          </w:p>
        </w:tc>
        <w:tc>
          <w:tcPr>
            <w:tcW w:w="3112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F1A16" w:rsidRDefault="00AF1A16" w:rsidP="00AF1A16">
            <w:pPr>
              <w:pStyle w:val="Default"/>
            </w:pPr>
          </w:p>
          <w:p w:rsidR="0033352D" w:rsidRDefault="00AF1A16" w:rsidP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  <w:r>
              <w:t xml:space="preserve"> </w:t>
            </w:r>
            <w:r w:rsidRPr="00AF1A16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Término cultura</w:t>
            </w:r>
          </w:p>
        </w:tc>
        <w:tc>
          <w:tcPr>
            <w:tcW w:w="66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9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33352D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3352D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F1A16" w:rsidTr="00AF1A16">
        <w:trPr>
          <w:trHeight w:val="662"/>
        </w:trPr>
        <w:tc>
          <w:tcPr>
            <w:tcW w:w="10245" w:type="dxa"/>
            <w:gridSpan w:val="4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CC99"/>
            <w:tcMar>
              <w:left w:w="-15" w:type="dxa"/>
            </w:tcMar>
          </w:tcPr>
          <w:p w:rsidR="00AF1A16" w:rsidRPr="00AF1A16" w:rsidRDefault="00AF1A16" w:rsidP="00AF1A16">
            <w:pPr>
              <w:jc w:val="center"/>
            </w:pPr>
            <w:r w:rsidRPr="00AF1A16">
              <w:rPr>
                <w:rFonts w:ascii="Arial" w:eastAsia="Times New Roman" w:hAnsi="Arial"/>
                <w:b/>
                <w:color w:val="B01513"/>
                <w:sz w:val="28"/>
                <w:szCs w:val="28"/>
                <w:lang w:eastAsia="es-ES"/>
              </w:rPr>
              <w:t>La cueva del cofre de oro</w:t>
            </w:r>
          </w:p>
        </w:tc>
        <w:tc>
          <w:tcPr>
            <w:tcW w:w="66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F1A16" w:rsidTr="00E060BC">
        <w:trPr>
          <w:trHeight w:val="662"/>
        </w:trPr>
        <w:tc>
          <w:tcPr>
            <w:tcW w:w="2775" w:type="dxa"/>
            <w:gridSpan w:val="2"/>
            <w:vMerge w:val="restart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AF1A16" w:rsidRDefault="00AF1A16">
            <w:pPr>
              <w:pStyle w:val="Prrafodelista1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bCs/>
                <w:color w:val="000000"/>
              </w:rPr>
              <w:t>La vida monacal, fuente de cultura</w:t>
            </w:r>
          </w:p>
        </w:tc>
        <w:tc>
          <w:tcPr>
            <w:tcW w:w="435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</w:rPr>
              <w:t>4.3.1 Conoce y respeta los rasgos de la vida monástica. Identifica su influencia en la organización social y la vida laboral</w:t>
            </w:r>
          </w:p>
        </w:tc>
        <w:tc>
          <w:tcPr>
            <w:tcW w:w="3112" w:type="dxa"/>
            <w:vMerge w:val="restart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</w:p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</w:p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 xml:space="preserve"> </w:t>
            </w:r>
            <w:r w:rsidRPr="00AF1A16">
              <w:rPr>
                <w:rFonts w:ascii="Arial" w:eastAsia="SimSun" w:hAnsi="Arial" w:cs="Arial"/>
                <w:b/>
                <w:bCs/>
                <w:color w:val="464646"/>
                <w:sz w:val="24"/>
                <w:szCs w:val="24"/>
                <w:shd w:val="clear" w:color="auto" w:fill="FFFFFF"/>
                <w:lang w:eastAsia="es-ES" w:bidi="hi-IN"/>
              </w:rPr>
              <w:t>Monacato y cultura</w:t>
            </w:r>
          </w:p>
        </w:tc>
        <w:tc>
          <w:tcPr>
            <w:tcW w:w="66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AF1A16" w:rsidTr="00AF1A16">
        <w:trPr>
          <w:trHeight w:val="662"/>
        </w:trPr>
        <w:tc>
          <w:tcPr>
            <w:tcW w:w="277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AF1A16" w:rsidRDefault="00AF1A16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435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9" w:hanging="9"/>
              <w:jc w:val="both"/>
              <w:rPr>
                <w:rFonts w:ascii="Arial" w:hAnsi="Arial"/>
              </w:rPr>
            </w:pPr>
            <w:r>
              <w:rPr>
                <w:rFonts w:ascii="Arial" w:eastAsia="Book Antiqua" w:hAnsi="Arial" w:cs="Calibri"/>
                <w:color w:val="000000"/>
                <w:highlight w:val="white"/>
              </w:rPr>
              <w:t>4.3.2 Valora el trabajo de los monjes por conservar el arte y la cultura grecolatina, elaborando un material audiovisual en el que se recoja la síntesis de su estudio</w:t>
            </w:r>
          </w:p>
        </w:tc>
        <w:tc>
          <w:tcPr>
            <w:tcW w:w="311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F1A16" w:rsidRDefault="00AF1A16">
            <w:pPr>
              <w:pStyle w:val="Prrafodelista1"/>
              <w:tabs>
                <w:tab w:val="left" w:pos="0"/>
              </w:tabs>
              <w:spacing w:after="0"/>
              <w:ind w:left="9" w:hanging="9"/>
              <w:jc w:val="both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9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  <w:r>
              <w:rPr>
                <w:rFonts w:ascii="Arial" w:eastAsia="Times New Roman" w:hAnsi="Arial"/>
                <w:lang w:eastAsia="es-ES"/>
              </w:rPr>
              <w:t>X</w:t>
            </w:r>
          </w:p>
        </w:tc>
        <w:tc>
          <w:tcPr>
            <w:tcW w:w="600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eastAsia="Times New Roman" w:hAnsi="Arial"/>
                <w:lang w:eastAsia="es-ES"/>
              </w:rPr>
            </w:pPr>
          </w:p>
        </w:tc>
        <w:tc>
          <w:tcPr>
            <w:tcW w:w="70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AF1A16" w:rsidRDefault="00AF1A1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:rsidR="00235CB8" w:rsidRDefault="00235CB8"/>
    <w:sectPr w:rsidR="00235CB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C7D"/>
    <w:multiLevelType w:val="multilevel"/>
    <w:tmpl w:val="6A885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AE57AF"/>
    <w:multiLevelType w:val="multilevel"/>
    <w:tmpl w:val="44A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B8"/>
    <w:rsid w:val="000242F2"/>
    <w:rsid w:val="00235CB8"/>
    <w:rsid w:val="0026373A"/>
    <w:rsid w:val="0033352D"/>
    <w:rsid w:val="00352E53"/>
    <w:rsid w:val="0042362C"/>
    <w:rsid w:val="00424B49"/>
    <w:rsid w:val="00794D62"/>
    <w:rsid w:val="0083229E"/>
    <w:rsid w:val="00964B0D"/>
    <w:rsid w:val="00AF1A16"/>
    <w:rsid w:val="00BC7600"/>
    <w:rsid w:val="00D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AD0"/>
  <w15:docId w15:val="{780C8CD4-E636-4BD2-96A1-21994AE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tulo1">
    <w:name w:val="heading 1"/>
    <w:basedOn w:val="Encabezado"/>
    <w:qFormat/>
    <w:pPr>
      <w:outlineLvl w:val="0"/>
    </w:pPr>
  </w:style>
  <w:style w:type="paragraph" w:styleId="Ttulo2">
    <w:name w:val="heading 2"/>
    <w:basedOn w:val="Encabezado"/>
    <w:qFormat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0">
    <w:name w:val="ListLabel 10"/>
    <w:qFormat/>
    <w:rPr>
      <w:rFonts w:cs="Calibri"/>
      <w:color w:val="000000"/>
    </w:rPr>
  </w:style>
  <w:style w:type="character" w:customStyle="1" w:styleId="ListLabel11">
    <w:name w:val="ListLabel 11"/>
    <w:qFormat/>
    <w:rPr>
      <w:rFonts w:ascii="Arial" w:hAnsi="Arial" w:cs="Calibri"/>
      <w:color w:val="000000"/>
    </w:rPr>
  </w:style>
  <w:style w:type="character" w:customStyle="1" w:styleId="ListLabel12">
    <w:name w:val="ListLabel 12"/>
    <w:qFormat/>
    <w:rPr>
      <w:rFonts w:ascii="Arial" w:hAnsi="Arial" w:cs="Calibri"/>
      <w:color w:val="000000"/>
    </w:rPr>
  </w:style>
  <w:style w:type="character" w:customStyle="1" w:styleId="ListLabel13">
    <w:name w:val="ListLabel 13"/>
    <w:qFormat/>
    <w:rPr>
      <w:rFonts w:cs="Calibri"/>
      <w:color w:val="000000"/>
    </w:rPr>
  </w:style>
  <w:style w:type="character" w:customStyle="1" w:styleId="ListLabel14">
    <w:name w:val="ListLabel 14"/>
    <w:qFormat/>
    <w:rPr>
      <w:rFonts w:cs="Calibri"/>
      <w:color w:val="000000"/>
    </w:rPr>
  </w:style>
  <w:style w:type="character" w:customStyle="1" w:styleId="ListLabel15">
    <w:name w:val="ListLabel 15"/>
    <w:qFormat/>
    <w:rPr>
      <w:rFonts w:cs="Calibri"/>
      <w:color w:val="000000"/>
    </w:rPr>
  </w:style>
  <w:style w:type="character" w:customStyle="1" w:styleId="ListLabel16">
    <w:name w:val="ListLabel 16"/>
    <w:qFormat/>
    <w:rPr>
      <w:rFonts w:cs="Calibri"/>
      <w:color w:val="000000"/>
    </w:rPr>
  </w:style>
  <w:style w:type="character" w:customStyle="1" w:styleId="ListLabel17">
    <w:name w:val="ListLabel 17"/>
    <w:qFormat/>
    <w:rPr>
      <w:rFonts w:cs="Calibri"/>
      <w:color w:val="000000"/>
    </w:rPr>
  </w:style>
  <w:style w:type="character" w:customStyle="1" w:styleId="ListLabel18">
    <w:name w:val="ListLabel 18"/>
    <w:qFormat/>
    <w:rPr>
      <w:rFonts w:cs="Calibri"/>
      <w:color w:val="000000"/>
    </w:rPr>
  </w:style>
  <w:style w:type="character" w:customStyle="1" w:styleId="ListLabel19">
    <w:name w:val="ListLabel 19"/>
    <w:qFormat/>
    <w:rPr>
      <w:rFonts w:cs="Calibri"/>
      <w:color w:val="000000"/>
    </w:rPr>
  </w:style>
  <w:style w:type="character" w:customStyle="1" w:styleId="ListLabel20">
    <w:name w:val="ListLabel 20"/>
    <w:qFormat/>
    <w:rPr>
      <w:rFonts w:cs="Calibri"/>
      <w:color w:val="000000"/>
    </w:rPr>
  </w:style>
  <w:style w:type="character" w:customStyle="1" w:styleId="ListLabel21">
    <w:name w:val="ListLabel 21"/>
    <w:qFormat/>
    <w:rPr>
      <w:rFonts w:cs="Calibri"/>
      <w:color w:val="000000"/>
    </w:rPr>
  </w:style>
  <w:style w:type="character" w:customStyle="1" w:styleId="ListLabel22">
    <w:name w:val="ListLabel 22"/>
    <w:qFormat/>
    <w:rPr>
      <w:rFonts w:cs="Calibri"/>
      <w:color w:val="000000"/>
    </w:rPr>
  </w:style>
  <w:style w:type="character" w:customStyle="1" w:styleId="ListLabel23">
    <w:name w:val="ListLabel 23"/>
    <w:qFormat/>
    <w:rPr>
      <w:rFonts w:cs="Calibri"/>
      <w:color w:val="000000"/>
    </w:rPr>
  </w:style>
  <w:style w:type="character" w:customStyle="1" w:styleId="ListLabel24">
    <w:name w:val="ListLabel 24"/>
    <w:qFormat/>
    <w:rPr>
      <w:rFonts w:cs="Calibri"/>
      <w:color w:val="000000"/>
    </w:rPr>
  </w:style>
  <w:style w:type="character" w:customStyle="1" w:styleId="ListLabel25">
    <w:name w:val="ListLabel 25"/>
    <w:qFormat/>
    <w:rPr>
      <w:rFonts w:cs="Calibri"/>
      <w:color w:val="000000"/>
    </w:rPr>
  </w:style>
  <w:style w:type="character" w:customStyle="1" w:styleId="ListLabel26">
    <w:name w:val="ListLabel 26"/>
    <w:qFormat/>
    <w:rPr>
      <w:rFonts w:cs="Calibri"/>
      <w:color w:val="000000"/>
    </w:rPr>
  </w:style>
  <w:style w:type="character" w:customStyle="1" w:styleId="ListLabel27">
    <w:name w:val="ListLabel 27"/>
    <w:qFormat/>
    <w:rPr>
      <w:rFonts w:cs="Calibri"/>
      <w:color w:val="000000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qFormat/>
    <w:pPr>
      <w:suppressLineNumbers/>
      <w:shd w:val="clear" w:color="auto" w:fill="FFFFFF"/>
    </w:pPr>
  </w:style>
  <w:style w:type="paragraph" w:customStyle="1" w:styleId="Encabezadodelatabla">
    <w:name w:val="Encabezado de la tabla"/>
    <w:basedOn w:val="Contenidodelatabla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en-US"/>
    </w:rPr>
  </w:style>
  <w:style w:type="paragraph" w:customStyle="1" w:styleId="Prrafodelista2">
    <w:name w:val="Párrafo de lista2"/>
    <w:basedOn w:val="Standard"/>
    <w:qFormat/>
    <w:pPr>
      <w:keepNext/>
      <w:shd w:val="clear" w:color="auto" w:fill="FFFFFF"/>
      <w:spacing w:after="200" w:line="276" w:lineRule="auto"/>
      <w:ind w:left="720"/>
    </w:pPr>
    <w:rPr>
      <w:rFonts w:ascii="Times New Roman" w:eastAsia="SimSun" w:hAnsi="Times New Roman" w:cs="Mangal"/>
      <w:lang w:eastAsia="es-ES"/>
    </w:rPr>
  </w:style>
  <w:style w:type="paragraph" w:styleId="Subttulo">
    <w:name w:val="Subtitle"/>
    <w:basedOn w:val="Encabezado"/>
    <w:qFormat/>
  </w:style>
  <w:style w:type="paragraph" w:customStyle="1" w:styleId="Textopreformateado">
    <w:name w:val="Texto preformateado"/>
    <w:basedOn w:val="Normal"/>
    <w:qFormat/>
  </w:style>
  <w:style w:type="paragraph" w:styleId="Prrafodelista">
    <w:name w:val="List Paragraph"/>
    <w:basedOn w:val="Normal"/>
    <w:qFormat/>
    <w:pPr>
      <w:shd w:val="clear" w:color="auto" w:fill="FFFFFF"/>
      <w:spacing w:after="0" w:line="240" w:lineRule="auto"/>
      <w:ind w:left="720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Prrafodelista1">
    <w:name w:val="Párrafo de lista1"/>
    <w:basedOn w:val="Normal"/>
    <w:qFormat/>
    <w:pPr>
      <w:shd w:val="clear" w:color="auto" w:fill="FFFFFF"/>
      <w:ind w:left="720"/>
    </w:pPr>
  </w:style>
  <w:style w:type="paragraph" w:customStyle="1" w:styleId="Default">
    <w:name w:val="Default"/>
    <w:rsid w:val="00424B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J. Ignacio Robledano Orta</cp:lastModifiedBy>
  <cp:revision>3</cp:revision>
  <cp:lastPrinted>2019-10-24T11:52:00Z</cp:lastPrinted>
  <dcterms:created xsi:type="dcterms:W3CDTF">2020-10-22T10:05:00Z</dcterms:created>
  <dcterms:modified xsi:type="dcterms:W3CDTF">2020-10-22T10:07:00Z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3082-10.1.0.5674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