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1" w:type="dxa"/>
        <w:tblInd w:w="-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7"/>
        <w:gridCol w:w="2248"/>
        <w:gridCol w:w="2213"/>
        <w:gridCol w:w="2621"/>
        <w:gridCol w:w="2829"/>
        <w:gridCol w:w="3133"/>
      </w:tblGrid>
      <w:tr w:rsidR="00AA195D">
        <w:tc>
          <w:tcPr>
            <w:tcW w:w="151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3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INTEGRACIÓN CURRICULAR</w:t>
            </w:r>
          </w:p>
        </w:tc>
      </w:tr>
      <w:tr w:rsidR="00AA195D">
        <w:tc>
          <w:tcPr>
            <w:tcW w:w="1519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PRIMERO DE BACHILLERATO</w:t>
            </w:r>
          </w:p>
        </w:tc>
      </w:tr>
      <w:tr w:rsidR="00AA195D" w:rsidTr="002E242B">
        <w:tc>
          <w:tcPr>
            <w:tcW w:w="1519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left w:w="54" w:type="dxa"/>
            </w:tcMar>
          </w:tcPr>
          <w:p w:rsidR="00AA195D" w:rsidRDefault="00EB5BB9" w:rsidP="002E242B">
            <w:r>
              <w:rPr>
                <w:rFonts w:cs="Arial"/>
              </w:rPr>
              <w:t xml:space="preserve">BLOQUE 1. </w:t>
            </w:r>
            <w:r>
              <w:t xml:space="preserve">BLOQUE 1: </w:t>
            </w:r>
            <w:r w:rsidRPr="002E242B">
              <w:t>ANTROPOLOGÍA</w:t>
            </w:r>
            <w:r>
              <w:t xml:space="preserve"> CRISTIANA</w:t>
            </w:r>
          </w:p>
        </w:tc>
      </w:tr>
      <w:tr w:rsidR="00AA195D"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ESTÁNDAR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ind w:right="-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ESTRATEGIA METODOLÓGICA</w:t>
            </w:r>
          </w:p>
        </w:tc>
      </w:tr>
      <w:tr w:rsidR="00AA195D"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"/>
              <w:numPr>
                <w:ilvl w:val="0"/>
                <w:numId w:val="4"/>
              </w:numPr>
              <w:tabs>
                <w:tab w:val="left" w:pos="0"/>
                <w:tab w:val="left" w:pos="200"/>
              </w:tabs>
              <w:ind w:left="157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SimSun" w:hAnsi="Palatino Linotype" w:cs="Arial"/>
                <w:sz w:val="20"/>
                <w:szCs w:val="20"/>
                <w:lang w:eastAsia="es-ES" w:bidi="ar-SA"/>
              </w:rPr>
              <w:tab/>
              <w:t>Ejercer la ciudadanía democrática, desde una perspectiva global, y adquirir una conciencia cívica responsable, inspirada por los valores de la Constitución española, así como por los derechos humanos, que fomente la corresponsabilidad en la construcción de una sociedad justa y equitativa</w:t>
            </w:r>
          </w:p>
          <w:p w:rsidR="00AA195D" w:rsidRDefault="00EB5BB9">
            <w:pPr>
              <w:pStyle w:val="Prrafodelista"/>
              <w:numPr>
                <w:ilvl w:val="0"/>
                <w:numId w:val="4"/>
              </w:numPr>
              <w:tabs>
                <w:tab w:val="left" w:pos="0"/>
                <w:tab w:val="left" w:pos="200"/>
              </w:tabs>
              <w:ind w:left="157" w:hanging="14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SimSun" w:hAnsi="Palatino Linotype" w:cs="Arial"/>
                <w:sz w:val="20"/>
                <w:szCs w:val="20"/>
                <w:lang w:eastAsia="es-ES" w:bidi="ar-SA"/>
              </w:rPr>
              <w:t xml:space="preserve">Consolidad una madurez personal y social que les permita actuar de forma responsable y autónoma y desarrollar su espíritu crítico. Prever y resolver pacíficamente los </w:t>
            </w:r>
            <w:r>
              <w:rPr>
                <w:rFonts w:ascii="Palatino Linotype" w:eastAsia="SimSun" w:hAnsi="Palatino Linotype" w:cs="Arial"/>
                <w:sz w:val="20"/>
                <w:szCs w:val="20"/>
                <w:lang w:eastAsia="es-ES" w:bidi="ar-SA"/>
              </w:rPr>
              <w:lastRenderedPageBreak/>
              <w:t>conflictos personales, familiares y sociales</w:t>
            </w:r>
          </w:p>
          <w:p w:rsidR="00AA195D" w:rsidRDefault="00EB5BB9">
            <w:pPr>
              <w:pStyle w:val="Prrafodelista"/>
              <w:numPr>
                <w:ilvl w:val="0"/>
                <w:numId w:val="4"/>
              </w:numPr>
              <w:tabs>
                <w:tab w:val="left" w:pos="157"/>
                <w:tab w:val="left" w:pos="200"/>
              </w:tabs>
              <w:ind w:left="157" w:hanging="142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SimSun" w:hAnsi="Palatino Linotype" w:cs="Arial"/>
                <w:sz w:val="20"/>
                <w:szCs w:val="20"/>
                <w:lang w:eastAsia="es-ES" w:bidi="ar-SA"/>
              </w:rPr>
              <w:t>Fomentar la igualdad efectiva de derechos y oportunidades entre hombres y mujeres, analizar y valorar críticamente las desigualdades existentes e impulsar la igualdad real y la no discriminación de las personas con discapacidad</w:t>
            </w:r>
          </w:p>
          <w:p w:rsidR="00AA195D" w:rsidRDefault="00EB5BB9">
            <w:pPr>
              <w:pStyle w:val="Prrafodelista"/>
              <w:numPr>
                <w:ilvl w:val="0"/>
                <w:numId w:val="5"/>
              </w:numPr>
              <w:tabs>
                <w:tab w:val="left" w:pos="345"/>
              </w:tabs>
              <w:ind w:left="157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Consolidad una madurez personal y social que les permita actuar de forma responsable y autónoma y desarrollar su espíritu crítico. Prever y resolver pacíficamente los conflictos personales, familiares y sociales</w:t>
            </w:r>
          </w:p>
          <w:p w:rsidR="00AA195D" w:rsidRDefault="00AA195D">
            <w:pPr>
              <w:pStyle w:val="Prrafodelista"/>
              <w:tabs>
                <w:tab w:val="left" w:pos="345"/>
              </w:tabs>
              <w:ind w:left="1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69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</w:rPr>
              <w:lastRenderedPageBreak/>
              <w:t>El hombre, ser religioso que busca un sentido a la vida. Expresiones históricas del sentido religioso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113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1.1 Reconocer y respetar la necesidad de sentido en el hombre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CL, SIEE. 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>1.1.1 Reflexiona sobre acontecimientos mostrados en los medios de comunicación y emite juicios de valor sobre la necesidad de sentido</w:t>
            </w:r>
          </w:p>
        </w:tc>
        <w:tc>
          <w:tcPr>
            <w:tcW w:w="36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tabs>
                <w:tab w:val="left" w:pos="-720"/>
                <w:tab w:val="left" w:pos="284"/>
                <w:tab w:val="left" w:pos="567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La metodología utilizada en todos los temas respetará los siguientes principios: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Reconocimiento del rol del docente.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Adaptación al ámbito emocional y cognitivo de los estudiantes respetando el desarrollo psicoevolutivo propio de cada etapa.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Respeto por los ritmos y estilos de aprendizaje de los estudiantes.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Consideración de la dimensión humanista.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Respeto por la curiosidad e inquietudes de los estudiantes.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Seguimiento de los criterios de evaluación educativa.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Desarrollo del aprendizaje en equipo y/o cooperativo.</w:t>
            </w:r>
          </w:p>
          <w:p w:rsidR="00AA195D" w:rsidRDefault="00EB5BB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60"/>
              </w:tabs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Utilización educativa de los recursos tecnológicos.</w:t>
            </w:r>
          </w:p>
          <w:p w:rsidR="00AA195D" w:rsidRDefault="00EB5BB9">
            <w:pPr>
              <w:shd w:val="clear" w:color="auto" w:fill="FFFFFF"/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pacing w:val="-3"/>
                <w:sz w:val="20"/>
                <w:szCs w:val="20"/>
              </w:rPr>
              <w:t>Como recursos para el trabajo en el aula tenemos diferentes blogs elaborados por los profesores de Religión del centro:</w:t>
            </w:r>
          </w:p>
          <w:p w:rsidR="00AA195D" w:rsidRDefault="002E242B">
            <w:pPr>
              <w:shd w:val="clear" w:color="auto" w:fill="FFFFFF"/>
              <w:spacing w:line="240" w:lineRule="atLeast"/>
              <w:jc w:val="both"/>
            </w:pPr>
            <w:hyperlink r:id="rId5">
              <w:r w:rsidR="00EB5BB9">
                <w:rPr>
                  <w:rStyle w:val="EnlacedeInternet"/>
                  <w:rFonts w:ascii="Palatino Linotype" w:hAnsi="Palatino Linotype" w:cs="Arial"/>
                  <w:color w:val="286F7E"/>
                  <w:spacing w:val="-3"/>
                  <w:sz w:val="20"/>
                  <w:szCs w:val="20"/>
                </w:rPr>
                <w:t>www.proyectoludere.es</w:t>
              </w:r>
            </w:hyperlink>
            <w:r w:rsidR="00EB5BB9">
              <w:rPr>
                <w:rStyle w:val="EnlacedeInternet"/>
                <w:rFonts w:ascii="Palatino Linotype" w:hAnsi="Palatino Linotype" w:cs="Arial"/>
                <w:color w:val="286F7E"/>
                <w:spacing w:val="-3"/>
                <w:sz w:val="20"/>
                <w:szCs w:val="20"/>
              </w:rPr>
              <w:t xml:space="preserve"> </w:t>
            </w:r>
          </w:p>
          <w:p w:rsidR="00AA195D" w:rsidRDefault="00AA195D">
            <w:pPr>
              <w:shd w:val="clear" w:color="auto" w:fill="FFFFFF"/>
              <w:spacing w:line="240" w:lineRule="atLeast"/>
              <w:jc w:val="both"/>
              <w:rPr>
                <w:rStyle w:val="EnlacedeInternet"/>
                <w:rFonts w:ascii="Palatino Linotype" w:hAnsi="Palatino Linotype"/>
                <w:sz w:val="20"/>
                <w:szCs w:val="20"/>
              </w:rPr>
            </w:pPr>
          </w:p>
          <w:p w:rsidR="00AA195D" w:rsidRDefault="002E242B">
            <w:pPr>
              <w:shd w:val="clear" w:color="auto" w:fill="FFFFFF"/>
              <w:spacing w:line="240" w:lineRule="atLeast"/>
              <w:jc w:val="both"/>
            </w:pPr>
            <w:hyperlink r:id="rId6">
              <w:r w:rsidR="00EB5BB9">
                <w:rPr>
                  <w:rStyle w:val="EnlacedeInternet"/>
                  <w:rFonts w:ascii="Palatino Linotype" w:hAnsi="Palatino Linotype" w:cs="Arial"/>
                  <w:color w:val="286F7E"/>
                  <w:spacing w:val="-3"/>
                  <w:sz w:val="20"/>
                  <w:szCs w:val="20"/>
                </w:rPr>
                <w:t>https://proyecto-ludere-bachillerato-1.jimdofree.com/</w:t>
              </w:r>
            </w:hyperlink>
            <w:r w:rsidR="00EB5BB9">
              <w:rPr>
                <w:rStyle w:val="EnlacedeInternet"/>
                <w:rFonts w:ascii="Palatino Linotype" w:hAnsi="Palatino Linotype" w:cs="Arial"/>
                <w:color w:val="286F7E"/>
                <w:spacing w:val="-3"/>
                <w:sz w:val="20"/>
                <w:szCs w:val="20"/>
              </w:rPr>
              <w:t xml:space="preserve"> </w:t>
            </w:r>
          </w:p>
          <w:p w:rsidR="00AA195D" w:rsidRDefault="00AA195D">
            <w:pPr>
              <w:shd w:val="clear" w:color="auto" w:fill="FFFFFF"/>
              <w:spacing w:line="240" w:lineRule="atLeast"/>
              <w:jc w:val="both"/>
              <w:rPr>
                <w:rFonts w:ascii="Palatino Linotype" w:hAnsi="Palatino Linotype" w:cs="Arial"/>
                <w:color w:val="286F7E"/>
                <w:sz w:val="20"/>
                <w:szCs w:val="20"/>
              </w:rPr>
            </w:pPr>
          </w:p>
          <w:p w:rsidR="00AA195D" w:rsidRDefault="002E242B">
            <w:pPr>
              <w:shd w:val="clear" w:color="auto" w:fill="FFFFFF"/>
              <w:spacing w:line="240" w:lineRule="atLeast"/>
              <w:jc w:val="both"/>
            </w:pPr>
            <w:hyperlink r:id="rId7">
              <w:r w:rsidR="00EB5BB9">
                <w:rPr>
                  <w:rStyle w:val="EnlacedeInternet"/>
                  <w:rFonts w:ascii="Palatino Linotype" w:hAnsi="Palatino Linotype" w:cs="Arial"/>
                  <w:color w:val="286F7E"/>
                  <w:spacing w:val="-3"/>
                  <w:sz w:val="20"/>
                  <w:szCs w:val="20"/>
                </w:rPr>
                <w:t>https://expofe.jimdo.com/</w:t>
              </w:r>
            </w:hyperlink>
            <w:r w:rsidR="00EB5BB9">
              <w:rPr>
                <w:rStyle w:val="EnlacedeInternet"/>
                <w:rFonts w:ascii="Palatino Linotype" w:hAnsi="Palatino Linotype" w:cs="Arial"/>
                <w:color w:val="286F7E"/>
                <w:spacing w:val="-3"/>
                <w:sz w:val="20"/>
                <w:szCs w:val="20"/>
              </w:rPr>
              <w:t xml:space="preserve"> </w:t>
            </w:r>
          </w:p>
          <w:p w:rsidR="00AA195D" w:rsidRDefault="00AA195D">
            <w:pPr>
              <w:shd w:val="clear" w:color="auto" w:fill="FFFFFF"/>
              <w:spacing w:line="240" w:lineRule="atLeast"/>
              <w:jc w:val="both"/>
              <w:rPr>
                <w:rFonts w:ascii="Palatino Linotype" w:hAnsi="Palatino Linotype" w:cs="Arial"/>
                <w:color w:val="286F7E"/>
                <w:sz w:val="20"/>
                <w:szCs w:val="20"/>
              </w:rPr>
            </w:pPr>
          </w:p>
          <w:p w:rsidR="00AA195D" w:rsidRDefault="00EB5BB9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>Para la ESO utilizaremos el proyecto “</w:t>
            </w:r>
            <w:proofErr w:type="spellStart"/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>ludere</w:t>
            </w:r>
            <w:proofErr w:type="spellEnd"/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>”. Es un proyecto educativo destinado a enseñar la asignatura de Religión Católica a alumnos de Educación Secundaria, basado en la metodología didáctica de la </w:t>
            </w:r>
            <w:proofErr w:type="spellStart"/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>ludificación</w:t>
            </w:r>
            <w:proofErr w:type="spellEnd"/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> o gamificación: el uso de mecánicas y dinámicas diseñadas para el juego, pero dentro de contextos educativos</w:t>
            </w:r>
          </w:p>
          <w:p w:rsidR="00AA195D" w:rsidRDefault="00EB5BB9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 xml:space="preserve">Esto de enseñar jugando y jugar enseñando no es nuevo: los alumnos más pequeños de nuestras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escuelas</w:t>
            </w:r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t xml:space="preserve"> están acostumbrados a usar dinámicas lúdicas en sus sesiones escolares, y continúan con esta dinámica en sus hogares. ¿Quién no recuerda los sistemas de puntos para la animación lectora, los cambios de sitio como premio a un buen comportamiento o un elogio de un profesor ante una buena acción realizada? Todas estas actividades y actitudes fidelizan el hábito logrado con el alumno desde temprana edad, y es nuestro </w:t>
            </w:r>
            <w:r>
              <w:rPr>
                <w:rFonts w:ascii="Palatino Linotype" w:eastAsia="Times New Roman" w:hAnsi="Palatino Linotype" w:cs="Arial"/>
                <w:color w:val="212529"/>
                <w:sz w:val="20"/>
                <w:szCs w:val="20"/>
              </w:rPr>
              <w:lastRenderedPageBreak/>
              <w:t>propósito extenderla a los alumnos de trece años para acercarles la religión de una manera diferente, favoreciendo el aprendizaje cooperativo, la autoevaluación y el éxito, en forma de puntos e insignias virtuales. Lo que queremos es implicar a los alumnos más directamente en su propio aprendizaje, atendiendo mejor a sus capacidades. Sin olvidar que el juego motiva, genera un clima de competitividad sana en el aula, mantiene a los participantes con un espíritu curioso y distiende el aula. </w:t>
            </w:r>
          </w:p>
          <w:p w:rsidR="00AA195D" w:rsidRDefault="00EB5BB9">
            <w:pPr>
              <w:shd w:val="clear" w:color="auto" w:fill="FFFFFF"/>
              <w:spacing w:line="24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pacing w:val="-3"/>
                <w:sz w:val="20"/>
                <w:szCs w:val="20"/>
              </w:rPr>
              <w:t>Como materiales de apoyo contaremos con fichas de elaboración propia, mapas, materiales fungibles para la realización de trabajos materiales, lúdico-didácticos, uso de Internet y las TIC como recurso para interactuar y la búsqueda de información, actividades en formato digital, Biblia didáctica y otros materiales que se observen que puedan aportar positivamente al desarrollo de la programación de aula.</w:t>
            </w: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 w:rsidP="00492C0F">
            <w:pPr>
              <w:pStyle w:val="Prrafodelista1"/>
              <w:tabs>
                <w:tab w:val="left" w:pos="0"/>
              </w:tabs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1.2 Comparar manifestaciones históricas que permitan desvelar desde siempre el sentido religioso del ser humano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CL, AA, 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>1.2.1 Identifica y diferencia la diversidad de respuestas salvíficas que muestran las religiones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55"/>
              </w:tabs>
              <w:ind w:left="833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</w:rPr>
              <w:t>El misterio de la persona humana. Fundamento de su dignidad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492C0F" w:rsidP="00492C0F">
            <w:pPr>
              <w:pStyle w:val="Prrafodelista1"/>
              <w:tabs>
                <w:tab w:val="left" w:pos="0"/>
              </w:tabs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</w:t>
            </w:r>
            <w:r w:rsidR="00EB5BB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 Dar razón de la raíz divina de la dignidad humana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CL.CD.AA.CSC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1.3.1 Descubre, a partir de un visionado que muestre la injusticia, la incapacidad de la ley para fundamentar la dignidad humana. Compara con textos eclesiales que vinculan la dignidad del ser humano a su condición de creatura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Pr="00492C0F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92C0F">
              <w:rPr>
                <w:rFonts w:ascii="Palatino Linotype" w:hAnsi="Palatino Linotype" w:cs="Arial"/>
                <w:sz w:val="20"/>
                <w:szCs w:val="20"/>
                <w:lang w:val="en-US"/>
              </w:rPr>
              <w:t>CL,CMCT,CD,AA,CSC,CEC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 xml:space="preserve">1.3.2 Investiga, obtiene datos estadísticos y analiza sacando conclusiones, comportamientos de los </w:t>
            </w: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lastRenderedPageBreak/>
              <w:t>jóvenes que defienden o atentan contra la dignidad del ser humano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  <w:highlight w:val="white"/>
              </w:rPr>
              <w:t>Diversas posturas ante el hecho religioso en la sociedad actual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22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1.4 Identificar y contrastar en el momento actual diversas respuestas de sentido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CL,SIEE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>1.4.1 Califica las respuestas de sentido que ofrece el ateísmo, agnosticismo o laicismo y las contrasta con la propuesta de salvación que ofrecen las religiones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 w:rsidTr="002E242B">
        <w:tc>
          <w:tcPr>
            <w:tcW w:w="115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left w:w="54" w:type="dxa"/>
            </w:tcMar>
          </w:tcPr>
          <w:p w:rsidR="00AA195D" w:rsidRPr="002E242B" w:rsidRDefault="00EB5BB9" w:rsidP="002E242B">
            <w:r>
              <w:t>BLOQUE 2. DOCTRINA SOCIAL DE LA IGLESIA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tabs>
                <w:tab w:val="left" w:pos="0"/>
                <w:tab w:val="left" w:pos="200"/>
              </w:tabs>
              <w:ind w:left="36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h) Conocer y valorar críticamente las </w:t>
            </w: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realidades del mundo contemporáneo, sus antecedentes históricos y los principales factores de su evolución. Participar de forma solidaria en el desarrollo y mejora de su entorno social</w:t>
            </w: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584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</w:rPr>
              <w:lastRenderedPageBreak/>
              <w:t xml:space="preserve">Origen y evolución de la doctrina social </w:t>
            </w: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</w:rPr>
              <w:lastRenderedPageBreak/>
              <w:t>de la Iglesia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22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 xml:space="preserve">2.1 Conocer y valorar el contexto en que nace y la 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enseñanza de la doctrina social de la Iglesia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CL,AA</w:t>
            </w:r>
            <w:proofErr w:type="gramEnd"/>
            <w:r>
              <w:rPr>
                <w:rFonts w:ascii="Palatino Linotype" w:hAnsi="Palatino Linotype" w:cs="Arial"/>
                <w:sz w:val="20"/>
                <w:szCs w:val="20"/>
              </w:rPr>
              <w:t>,CSC,CEC</w:t>
            </w:r>
          </w:p>
          <w:p w:rsidR="00AA195D" w:rsidRDefault="00AA195D">
            <w:pPr>
              <w:shd w:val="clear" w:color="auto" w:fill="FFFFFF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8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 xml:space="preserve">2.1.1 Identifica problemas sociales de finales del siglo XIX. Estudia su evolución </w:t>
            </w: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lastRenderedPageBreak/>
              <w:t>hasta la actualidad y analiza las respuestas de la doctrina social de la Iglesia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22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2.2 Identificar la dignidad humana como clave para una convivencia justa entre los hombres, diferenciándola de los reconocimientos que el Estado realiza a través de las leyes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CL,CD,</w:t>
            </w:r>
            <w:r w:rsidR="009C567D">
              <w:rPr>
                <w:rFonts w:ascii="Palatino Linotype" w:hAnsi="Palatino Linotype" w:cs="Arial"/>
                <w:sz w:val="20"/>
                <w:szCs w:val="20"/>
              </w:rPr>
              <w:t>C</w:t>
            </w:r>
            <w:r>
              <w:rPr>
                <w:rFonts w:ascii="Palatino Linotype" w:hAnsi="Palatino Linotype" w:cs="Arial"/>
                <w:sz w:val="20"/>
                <w:szCs w:val="20"/>
              </w:rPr>
              <w:t>SC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46" w:hanging="4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>2.2.1 Elabora una definición personal sobre los términos, legal, ético y moral. Explica públicamente las diferencias entre los términos con la ayuda de medios audiovisuales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584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  <w:highlight w:val="white"/>
              </w:rPr>
              <w:t>Principios fundamentales de la doctrina social de la Iglesia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22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2.3 Conocer y aplicar los principios fundamentales de la doctrina social de la Iglesia a diversos contextos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CL,AA,CSC,CEC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46" w:hanging="4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0"/>
                <w:szCs w:val="20"/>
                <w:highlight w:val="white"/>
              </w:rPr>
              <w:t>2.3.1 Comprende y define con palabras personales el significado de bien común, destino universal de los bienes y subsidiariedad. Aplica a situaciones concretas dichos principios justificando el pensamiento social de la Iglesia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 w:rsidTr="002E242B">
        <w:tc>
          <w:tcPr>
            <w:tcW w:w="115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left w:w="54" w:type="dxa"/>
            </w:tcMar>
          </w:tcPr>
          <w:p w:rsidR="00AA195D" w:rsidRDefault="00EB5BB9" w:rsidP="002E242B">
            <w:r>
              <w:t xml:space="preserve">BLOQUE 3. RELACIÓN ENTRE LA RAZÓN, LA </w:t>
            </w:r>
            <w:r w:rsidRPr="002E242B">
              <w:t>CIENCIA</w:t>
            </w:r>
            <w:r>
              <w:t xml:space="preserve"> Y LA FE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57"/>
              </w:tabs>
              <w:ind w:left="157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los hábitos de lectura, estudio y disciplina, como condiciones necesarias para el eficaz aprovechamiento del aprendizaje, y como medio de desarrollo personal</w:t>
            </w:r>
          </w:p>
          <w:p w:rsidR="00AA195D" w:rsidRDefault="00EB5BB9">
            <w:pPr>
              <w:pStyle w:val="Prrafodelista"/>
              <w:numPr>
                <w:ilvl w:val="0"/>
                <w:numId w:val="5"/>
              </w:numPr>
              <w:tabs>
                <w:tab w:val="left" w:pos="0"/>
                <w:tab w:val="left" w:pos="200"/>
              </w:tabs>
              <w:ind w:left="157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SimSun" w:hAnsi="Palatino Linotype" w:cs="Arial"/>
                <w:sz w:val="20"/>
                <w:szCs w:val="20"/>
                <w:lang w:eastAsia="es-ES" w:bidi="ar-SA"/>
              </w:rPr>
              <w:lastRenderedPageBreak/>
              <w:t>Dominar, tanto en su expresión oral como escrita, la lengua castellana y, en su caso la lengua cooficial de su Comunidad autónoma</w:t>
            </w:r>
          </w:p>
          <w:p w:rsidR="00AA195D" w:rsidRDefault="00EB5BB9">
            <w:pPr>
              <w:shd w:val="clear" w:color="auto" w:fill="FFFFFF"/>
              <w:tabs>
                <w:tab w:val="left" w:pos="0"/>
                <w:tab w:val="left" w:pos="200"/>
              </w:tabs>
              <w:ind w:left="1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i)Acceder a los conocimientos científicos y fundamentales y dominar las habilidades básicas propias de la modalidad elegida</w:t>
            </w:r>
          </w:p>
          <w:p w:rsidR="00AA195D" w:rsidRDefault="00EB5BB9">
            <w:pPr>
              <w:shd w:val="clear" w:color="auto" w:fill="FFFFFF"/>
              <w:tabs>
                <w:tab w:val="left" w:pos="0"/>
                <w:tab w:val="left" w:pos="200"/>
              </w:tabs>
              <w:ind w:left="1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j) </w:t>
            </w:r>
            <w:r>
              <w:rPr>
                <w:rFonts w:ascii="Palatino Linotype" w:hAnsi="Palatino Linotype" w:cs="Arial"/>
                <w:sz w:val="20"/>
                <w:szCs w:val="20"/>
              </w:rPr>
              <w:tab/>
              <w:t>Comprender los elementos y procedimientos fundamentales de la investigación y de los métodos científicos. Conocer y valorar de forma crítica la contribución de la ciencia y la tecnología en el cambio de las condiciones de vida, así como afianzar la sensibilidad y el respeto hacia el medio ambiente</w:t>
            </w:r>
          </w:p>
          <w:p w:rsidR="00AA195D" w:rsidRDefault="00EB5BB9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00"/>
              </w:tabs>
              <w:ind w:left="157" w:firstLine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lastRenderedPageBreak/>
              <w:t>Afianzar el espíritu emprendedor con actitudes de creatividad, flexibilidad, iniciativa, trabajo en equipo, confianza en uno mismo y sentido crítico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9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0"/>
                <w:szCs w:val="20"/>
              </w:rPr>
              <w:lastRenderedPageBreak/>
              <w:t>Formas de conocimiento a lo largo de la historia con las que el ser humano descubre la realidad y la verdad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22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3.1 Conocer y distinguir los diferentes métodos utilizados por la persona para conocer la verdad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Pr="00492C0F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92C0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CL,CMCT,AA,CSC, CEC 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3.1.1 Identifica, a través de fuentes, los diferentes métodos de conocer la verdad en la filosofía, la teología, la ciencia y la técnica. Distingue qué aspectos de la realidad permite conocer cada método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94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</w:rPr>
              <w:t xml:space="preserve">Recorrido </w:t>
            </w:r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</w:rPr>
              <w:lastRenderedPageBreak/>
              <w:t>histórico de las relaciones entre la ciencia y la fe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227"/>
              <w:jc w:val="both"/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 xml:space="preserve">3.2 Conocer y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lastRenderedPageBreak/>
              <w:t>aceptar con respeto los momentos históricos de conflicto entre la ciencia y la fe, sabiendo dar razones justificadas de la actuación de la Iglesia</w:t>
            </w:r>
          </w:p>
          <w:p w:rsidR="00AA195D" w:rsidRDefault="00AA195D">
            <w:pPr>
              <w:pStyle w:val="Prrafodelista1"/>
              <w:ind w:left="227"/>
              <w:jc w:val="both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CMCT,AA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 xml:space="preserve">3.2.1 Reconoce con </w:t>
            </w: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lastRenderedPageBreak/>
              <w:t>asombro y se esfuerza por comprender el origen divino del cosmos y distingue que no proviene del caos al azar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CL,CMCT,CSC, CEC 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3.2.2 Se informa con rigor y debate respetuosamente sobre el caso de Galileo, Servet, etc. Escribe su opinión, justificando razonadamente las causas y consecuencias de dichos conflictos</w:t>
            </w:r>
          </w:p>
          <w:p w:rsidR="00AA195D" w:rsidRDefault="00AA195D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numPr>
                <w:ilvl w:val="0"/>
                <w:numId w:val="7"/>
              </w:numPr>
              <w:tabs>
                <w:tab w:val="left" w:pos="0"/>
              </w:tabs>
              <w:ind w:left="227" w:firstLine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  <w:highlight w:val="white"/>
              </w:rPr>
              <w:t xml:space="preserve">Vínculo indisoluble entre ciencia y </w:t>
            </w:r>
            <w:proofErr w:type="spellStart"/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  <w:highlight w:val="white"/>
              </w:rPr>
              <w:t>étic</w:t>
            </w:r>
            <w:proofErr w:type="spellEnd"/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22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3.3 Ser consciente de la necesidad de relación entre ciencia y ética para que exista verdadero progreso humano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CMCT,AA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3.3.1 Aprende, acepta y respeta que el criterio ético nace del reconocimiento de la dignidad humana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CL,CMCT,CSC, 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3.3.2 Analiza casos y debate de manera razonada las consecuencias que se derivan de un uso de la ciencia sin referencia ético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 w:rsidTr="002E242B">
        <w:tc>
          <w:tcPr>
            <w:tcW w:w="115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983C7"/>
            <w:tcMar>
              <w:left w:w="54" w:type="dxa"/>
            </w:tcMar>
          </w:tcPr>
          <w:p w:rsidR="00AA195D" w:rsidRDefault="00EB5BB9" w:rsidP="002E242B">
            <w:r>
              <w:t xml:space="preserve">BLOQUE 4: LA IGLESIA GENERADORA DE </w:t>
            </w:r>
            <w:r w:rsidRPr="002E242B">
              <w:t>CULTUR</w:t>
            </w:r>
            <w:bookmarkStart w:id="0" w:name="_GoBack"/>
            <w:bookmarkEnd w:id="0"/>
            <w:r w:rsidRPr="002E242B">
              <w:t>A</w:t>
            </w:r>
            <w:r>
              <w:t xml:space="preserve">  A LO LARGO DE LA HISTORIA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00"/>
              </w:tabs>
              <w:ind w:left="194" w:firstLine="0"/>
            </w:pPr>
            <w:r>
              <w:rPr>
                <w:rFonts w:ascii="Palatino Linotype" w:hAnsi="Palatino Linotype" w:cs="Arial"/>
                <w:sz w:val="22"/>
                <w:szCs w:val="22"/>
              </w:rPr>
              <w:t>Desarrollar la sensibilidad artística y literaria, así como el criterio estético, como fuentes de formación y enriquecimiento cultural</w:t>
            </w:r>
          </w:p>
          <w:p w:rsidR="00AA195D" w:rsidRDefault="00EB5BB9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00"/>
              </w:tabs>
              <w:ind w:left="194" w:firstLine="0"/>
            </w:pPr>
            <w:r>
              <w:rPr>
                <w:rFonts w:ascii="Palatino Linotype" w:eastAsia="SimSun" w:hAnsi="Palatino Linotype" w:cs="Arial"/>
                <w:sz w:val="22"/>
                <w:szCs w:val="22"/>
                <w:lang w:eastAsia="es-ES" w:bidi="ar-SA"/>
              </w:rPr>
              <w:t xml:space="preserve">          Profundizar en el conocimiento y el aprecio de las peculiaridades de la modalidad lingüística andaluza en todas sus variedades.</w:t>
            </w:r>
          </w:p>
          <w:p w:rsidR="00AA195D" w:rsidRDefault="00EB5BB9">
            <w:pPr>
              <w:pStyle w:val="Prrafodelista"/>
              <w:numPr>
                <w:ilvl w:val="0"/>
                <w:numId w:val="8"/>
              </w:numPr>
              <w:tabs>
                <w:tab w:val="left" w:pos="0"/>
                <w:tab w:val="left" w:pos="200"/>
              </w:tabs>
              <w:ind w:left="194" w:firstLine="0"/>
            </w:pPr>
            <w:r>
              <w:rPr>
                <w:rFonts w:ascii="Palatino Linotype" w:eastAsia="SimSun" w:hAnsi="Palatino Linotype" w:cs="Arial"/>
                <w:sz w:val="22"/>
                <w:szCs w:val="22"/>
                <w:lang w:eastAsia="es-ES" w:bidi="ar-SA"/>
              </w:rPr>
              <w:t xml:space="preserve"> Profundizar en el conocimiento y el aprecio de los </w:t>
            </w:r>
            <w:r>
              <w:rPr>
                <w:rFonts w:ascii="Palatino Linotype" w:eastAsia="SimSun" w:hAnsi="Palatino Linotype" w:cs="Arial"/>
                <w:sz w:val="22"/>
                <w:szCs w:val="22"/>
                <w:lang w:eastAsia="es-ES" w:bidi="ar-SA"/>
              </w:rPr>
              <w:lastRenderedPageBreak/>
              <w:t>elementos específicos de la historia y la cultura andaluza, así como su medio físico y natural y otros hechos diferenciadores de nuestra Comunidad para que sea valorada y respetada como patrimonio propio y en el marco de la cultura española y universal.</w:t>
            </w:r>
          </w:p>
          <w:p w:rsidR="00AA195D" w:rsidRDefault="00AA195D">
            <w:pPr>
              <w:pStyle w:val="Prrafodelista1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286"/>
              </w:tabs>
              <w:ind w:left="77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</w:rPr>
              <w:lastRenderedPageBreak/>
              <w:t>Significado del término y dimensiones de la cultura</w:t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4.1 Conocer y comparar diferentes acepciones del término cultura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CL,AA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57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4.1.1 Estudia, analiza y define el concepto de cultura en diferentes épocas y lo contrasta con el carácter antropológico de la enseñanza de la Iglesia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4.2 Ser consciente que la persona es generadora de cultura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CL,CD,CSC,CEC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17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>4.2.1 Identifica los elementos propios de diversas culturas y elabora un material audiovisual donde los compare críticamente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748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Times New Roman" w:hAnsi="Palatino Linotype" w:cs="Calibri"/>
                <w:bCs/>
                <w:color w:val="000000"/>
                <w:sz w:val="22"/>
                <w:szCs w:val="22"/>
              </w:rPr>
              <w:t>La vida monacal, fuente de cultura</w:t>
            </w:r>
          </w:p>
        </w:tc>
        <w:tc>
          <w:tcPr>
            <w:tcW w:w="22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suppressLineNumbers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 xml:space="preserve">4.3 Caer en la cuenta del cambio que el monacato introduce en la configuración del tiempo y </w:t>
            </w: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lastRenderedPageBreak/>
              <w:t>el trabajo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AA,CSC,CEC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ind w:left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4.3.1 Conoce y respeta los rasgos de la vida monástica. Identifica su influencia en la organización social y la vida laboral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A195D"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Prrafodelista1"/>
              <w:suppressLineNumbers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shd w:val="clear" w:color="auto" w:fill="FFFFFF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CL,CD,AA,CEC</w:t>
            </w:r>
          </w:p>
        </w:tc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EB5BB9">
            <w:pPr>
              <w:pStyle w:val="Prrafodelista1"/>
              <w:tabs>
                <w:tab w:val="left" w:pos="0"/>
              </w:tabs>
              <w:ind w:left="9" w:hanging="9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t xml:space="preserve">4.3.2 Valora el trabajo de los monjes por conservar el </w:t>
            </w:r>
            <w:r>
              <w:rPr>
                <w:rFonts w:ascii="Palatino Linotype" w:eastAsia="Book Antiqua" w:hAnsi="Palatino Linotype" w:cs="Calibri"/>
                <w:color w:val="000000"/>
                <w:sz w:val="22"/>
                <w:szCs w:val="22"/>
                <w:highlight w:val="white"/>
              </w:rPr>
              <w:lastRenderedPageBreak/>
              <w:t>arte y la cultura grecolatina, elaborando un material audiovisual en el que se recoja la síntesis de su estudio</w:t>
            </w:r>
          </w:p>
        </w:tc>
        <w:tc>
          <w:tcPr>
            <w:tcW w:w="3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A195D" w:rsidRDefault="00AA195D">
            <w:pPr>
              <w:pStyle w:val="Contenidodelatabla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A195D" w:rsidRDefault="00AA195D"/>
    <w:sectPr w:rsidR="00AA195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FB2"/>
    <w:multiLevelType w:val="multilevel"/>
    <w:tmpl w:val="738E8462"/>
    <w:lvl w:ilvl="0">
      <w:start w:val="14"/>
      <w:numFmt w:val="lowerLetter"/>
      <w:lvlText w:val="%1)"/>
      <w:lvlJc w:val="left"/>
      <w:pPr>
        <w:ind w:left="720" w:hanging="360"/>
      </w:pPr>
      <w:rPr>
        <w:rFonts w:ascii="Palatino Linotype" w:hAnsi="Palatino Linotype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147"/>
    <w:multiLevelType w:val="multilevel"/>
    <w:tmpl w:val="D3C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41A6764"/>
    <w:multiLevelType w:val="multilevel"/>
    <w:tmpl w:val="4EBE3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E1C37"/>
    <w:multiLevelType w:val="multilevel"/>
    <w:tmpl w:val="54DE58C8"/>
    <w:lvl w:ilvl="0">
      <w:start w:val="1"/>
      <w:numFmt w:val="bullet"/>
      <w:lvlText w:val=""/>
      <w:lvlJc w:val="left"/>
      <w:pPr>
        <w:tabs>
          <w:tab w:val="num" w:pos="640"/>
        </w:tabs>
        <w:ind w:left="640" w:hanging="498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0"/>
        </w:tabs>
        <w:ind w:left="10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0"/>
        </w:tabs>
        <w:ind w:left="1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0"/>
        </w:tabs>
        <w:ind w:left="20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0"/>
        </w:tabs>
        <w:ind w:left="2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0"/>
        </w:tabs>
        <w:ind w:left="31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0"/>
        </w:tabs>
        <w:ind w:left="35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834FD5"/>
    <w:multiLevelType w:val="multilevel"/>
    <w:tmpl w:val="C1A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D796498"/>
    <w:multiLevelType w:val="multilevel"/>
    <w:tmpl w:val="DEF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21753B62"/>
    <w:multiLevelType w:val="multilevel"/>
    <w:tmpl w:val="D406AA76"/>
    <w:lvl w:ilvl="0">
      <w:start w:val="11"/>
      <w:numFmt w:val="lowerLetter"/>
      <w:lvlText w:val="%1)"/>
      <w:lvlJc w:val="left"/>
      <w:pPr>
        <w:ind w:left="720" w:hanging="360"/>
      </w:pPr>
      <w:rPr>
        <w:rFonts w:ascii="Palatino Linotype" w:hAnsi="Palatino Linotype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67F4"/>
    <w:multiLevelType w:val="multilevel"/>
    <w:tmpl w:val="9E9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2593260"/>
    <w:multiLevelType w:val="multilevel"/>
    <w:tmpl w:val="B0B4572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abstractNum w:abstractNumId="9" w15:restartNumberingAfterBreak="0">
    <w:nsid w:val="662F628C"/>
    <w:multiLevelType w:val="multilevel"/>
    <w:tmpl w:val="ABFC98D8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730582"/>
    <w:multiLevelType w:val="multilevel"/>
    <w:tmpl w:val="EFC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A195D"/>
    <w:rsid w:val="002E242B"/>
    <w:rsid w:val="00492C0F"/>
    <w:rsid w:val="009C567D"/>
    <w:rsid w:val="00AA195D"/>
    <w:rsid w:val="00E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989A-CA2F-45AD-898B-90443283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ascii="Arial" w:hAnsi="Arial" w:cs="OpenSymbol"/>
      <w:sz w:val="20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72">
    <w:name w:val="ListLabel 172"/>
    <w:qFormat/>
    <w:rPr>
      <w:rFonts w:ascii="Palatino Linotype" w:hAnsi="Palatino Linotype" w:cs="Arial"/>
      <w:sz w:val="22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Palatino Linotype" w:hAnsi="Palatino Linotype" w:cs="Arial"/>
      <w:sz w:val="22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EnlacedeInternet">
    <w:name w:val="Enlace de Internet"/>
    <w:basedOn w:val="Fuentedeprrafopredeter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Prrafodelista1">
    <w:name w:val="Párrafo de lista1"/>
    <w:basedOn w:val="Normal"/>
    <w:qFormat/>
    <w:pPr>
      <w:shd w:val="clear" w:color="auto" w:fill="FFFFFF"/>
      <w:ind w:left="720"/>
    </w:pPr>
  </w:style>
  <w:style w:type="paragraph" w:styleId="Prrafodelista">
    <w:name w:val="List Paragraph"/>
    <w:basedOn w:val="Normal"/>
    <w:qFormat/>
    <w:pPr>
      <w:keepNext/>
      <w:shd w:val="clear" w:color="auto" w:fill="FFFFFF"/>
      <w:ind w:left="720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lang w:eastAsia="es-ES" w:bidi="ar-SA"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f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yecto-ludere-bachillerato-1.jimdofree.com/" TargetMode="External"/><Relationship Id="rId5" Type="http://schemas.openxmlformats.org/officeDocument/2006/relationships/hyperlink" Target="http://www.proyectoludere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J. Ignacio Robledano Orta</cp:lastModifiedBy>
  <cp:revision>5</cp:revision>
  <dcterms:created xsi:type="dcterms:W3CDTF">2019-10-21T12:32:00Z</dcterms:created>
  <dcterms:modified xsi:type="dcterms:W3CDTF">2019-10-25T11:22:00Z</dcterms:modified>
  <dc:language>es-ES</dc:language>
</cp:coreProperties>
</file>